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Pr>
      <w:tblGrid>
        <w:gridCol w:w="2400"/>
        <w:gridCol w:w="7080"/>
      </w:tblGrid>
      <w:sdt>
        <w:sdtPr>
          <w:rPr>
            <w:rFonts w:ascii="Arial" w:hAnsi="Arial" w:cs="Arial"/>
            <w:sz w:val="16"/>
            <w:szCs w:val="16"/>
          </w:rPr>
          <w:alias w:val="EC Header - Standard"/>
          <w:tag w:val="A4pCgmOjXaoPaysOY21Ij7-5QkCVxYFQ4ANGFaoRKN4I2"/>
          <w:id w:val="-1943601555"/>
        </w:sdtPr>
        <w:sdtEndPr/>
        <w:sdtContent>
          <w:tr w:rsidR="009A1E6D" w14:paraId="137E4E58" w14:textId="77777777" w:rsidTr="00933C8A">
            <w:tc>
              <w:tcPr>
                <w:tcW w:w="2400" w:type="dxa"/>
              </w:tcPr>
              <w:p w14:paraId="290B0FBF" w14:textId="77777777" w:rsidR="009A1E6D" w:rsidRDefault="009A1E6D" w:rsidP="00933C8A">
                <w:pPr>
                  <w:pStyle w:val="ZFlag"/>
                </w:pPr>
                <w:r>
                  <w:rPr>
                    <w:noProof/>
                    <w:lang w:val="en-IE" w:eastAsia="en-IE"/>
                  </w:rPr>
                  <w:drawing>
                    <wp:inline distT="0" distB="0" distL="0" distR="0" wp14:anchorId="6F903A1E" wp14:editId="0B127AED">
                      <wp:extent cx="1371600" cy="676800"/>
                      <wp:effectExtent l="0" t="0" r="0" b="0"/>
                      <wp:docPr id="3" name="Picture 3"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2867CD48" w14:textId="77777777" w:rsidR="009A1E6D" w:rsidRDefault="00205423" w:rsidP="00933C8A">
                <w:pPr>
                  <w:pStyle w:val="ZCom"/>
                </w:pPr>
                <w:sdt>
                  <w:sdtPr>
                    <w:id w:val="-1002276708"/>
                    <w:dataBinding w:xpath="/Texts/OrgaRoot" w:storeItemID="{4EF90DE6-88B6-4264-9629-4D8DFDFE87D2}"/>
                    <w:text w:multiLine="1"/>
                  </w:sdtPr>
                  <w:sdtEndPr/>
                  <w:sdtContent>
                    <w:r w:rsidR="009A1E6D">
                      <w:t>EUROPEAN COMMISSION</w:t>
                    </w:r>
                  </w:sdtContent>
                </w:sdt>
              </w:p>
              <w:p w14:paraId="313B1428" w14:textId="77777777" w:rsidR="009A1E6D" w:rsidRDefault="00205423" w:rsidP="00933C8A">
                <w:pPr>
                  <w:pStyle w:val="ZDGName"/>
                </w:pPr>
                <w:sdt>
                  <w:sdtPr>
                    <w:id w:val="1118264062"/>
                    <w:dataBinding w:xpath="/Author/OrgaEntity1/HeadLine1" w:storeItemID="{4121F98F-4006-445A-8A72-E68EB81E4FAF}"/>
                    <w:text w:multiLine="1"/>
                  </w:sdtPr>
                  <w:sdtEndPr/>
                  <w:sdtContent>
                    <w:r w:rsidR="009A1E6D">
                      <w:t>DIRECTORATE-GENERAL FOR INTERNAL MARKET, INDUSTRY, ENTREPRENEURSHIP</w:t>
                    </w:r>
                  </w:sdtContent>
                </w:sdt>
              </w:p>
              <w:p w14:paraId="42810392" w14:textId="77777777" w:rsidR="009A1E6D" w:rsidRDefault="00205423" w:rsidP="00933C8A">
                <w:pPr>
                  <w:pStyle w:val="ZDGName"/>
                </w:pPr>
                <w:sdt>
                  <w:sdtPr>
                    <w:id w:val="197602244"/>
                    <w:dataBinding w:xpath="/Author/OrgaEntity1/HeadLine2" w:storeItemID="{4121F98F-4006-445A-8A72-E68EB81E4FAF}"/>
                    <w:text w:multiLine="1"/>
                  </w:sdtPr>
                  <w:sdtEndPr/>
                  <w:sdtContent>
                    <w:r w:rsidR="009A1E6D">
                      <w:t>AND SMES</w:t>
                    </w:r>
                  </w:sdtContent>
                </w:sdt>
              </w:p>
              <w:p w14:paraId="6A72C4FD" w14:textId="77777777" w:rsidR="009A1E6D" w:rsidRDefault="00205423" w:rsidP="00933C8A">
                <w:pPr>
                  <w:pStyle w:val="ZDGName"/>
                </w:pPr>
                <w:sdt>
                  <w:sdtPr>
                    <w:id w:val="1244761246"/>
                    <w:dataBinding w:xpath="/Author/OrgaEntity2/HeadLine1" w:storeItemID="{4121F98F-4006-445A-8A72-E68EB81E4FAF}"/>
                    <w:text w:multiLine="1"/>
                  </w:sdtPr>
                  <w:sdtEndPr/>
                  <w:sdtContent>
                    <w:r w:rsidR="009A1E6D">
                      <w:t>Chemicals and Consumer Industries</w:t>
                    </w:r>
                  </w:sdtContent>
                </w:sdt>
              </w:p>
              <w:p w14:paraId="4FFC0CA7" w14:textId="77777777" w:rsidR="009A1E6D" w:rsidRDefault="00205423" w:rsidP="00933C8A">
                <w:pPr>
                  <w:pStyle w:val="ZDGName"/>
                  <w:rPr>
                    <w:b/>
                  </w:rPr>
                </w:pPr>
                <w:sdt>
                  <w:sdtPr>
                    <w:rPr>
                      <w:b/>
                    </w:rPr>
                    <w:id w:val="-643201760"/>
                    <w:dataBinding w:xpath="/Author/OrgaEntity3/HeadLine1" w:storeItemID="{4121F98F-4006-445A-8A72-E68EB81E4FAF}"/>
                    <w:text w:multiLine="1"/>
                  </w:sdtPr>
                  <w:sdtEndPr/>
                  <w:sdtContent>
                    <w:r w:rsidR="009A1E6D">
                      <w:rPr>
                        <w:b/>
                      </w:rPr>
                      <w:t>Chemicals and Plastics Industries</w:t>
                    </w:r>
                  </w:sdtContent>
                </w:sdt>
              </w:p>
            </w:tc>
          </w:tr>
        </w:sdtContent>
      </w:sdt>
    </w:tbl>
    <w:p w14:paraId="0E87D041" w14:textId="458402E1" w:rsidR="00E55ACC" w:rsidRPr="00F87467" w:rsidRDefault="00E55ACC" w:rsidP="00F87467">
      <w:pPr>
        <w:spacing w:before="60" w:after="60"/>
        <w:ind w:left="5103"/>
        <w:jc w:val="both"/>
        <w:rPr>
          <w:rFonts w:ascii="Times New Roman" w:hAnsi="Times New Roman" w:cs="Times New Roman"/>
          <w:sz w:val="24"/>
          <w:szCs w:val="24"/>
        </w:rPr>
      </w:pPr>
      <w:r w:rsidRPr="00F87467">
        <w:rPr>
          <w:rFonts w:ascii="Times New Roman" w:hAnsi="Times New Roman" w:cs="Times New Roman"/>
          <w:sz w:val="24"/>
          <w:szCs w:val="24"/>
        </w:rPr>
        <w:t xml:space="preserve">Brussels, </w:t>
      </w:r>
      <w:r w:rsidR="00610664">
        <w:rPr>
          <w:rFonts w:ascii="Times New Roman" w:hAnsi="Times New Roman" w:cs="Times New Roman"/>
          <w:sz w:val="24"/>
          <w:szCs w:val="24"/>
        </w:rPr>
        <w:t>21</w:t>
      </w:r>
      <w:r w:rsidR="00CE22C6">
        <w:rPr>
          <w:rFonts w:ascii="Times New Roman" w:hAnsi="Times New Roman" w:cs="Times New Roman"/>
          <w:sz w:val="24"/>
          <w:szCs w:val="24"/>
        </w:rPr>
        <w:t xml:space="preserve"> </w:t>
      </w:r>
      <w:r w:rsidR="006E54DF">
        <w:rPr>
          <w:rFonts w:ascii="Times New Roman" w:hAnsi="Times New Roman" w:cs="Times New Roman"/>
          <w:sz w:val="24"/>
          <w:szCs w:val="24"/>
        </w:rPr>
        <w:t>December</w:t>
      </w:r>
      <w:r w:rsidRPr="00F87467">
        <w:rPr>
          <w:rFonts w:ascii="Times New Roman" w:hAnsi="Times New Roman" w:cs="Times New Roman"/>
          <w:sz w:val="24"/>
          <w:szCs w:val="24"/>
        </w:rPr>
        <w:t xml:space="preserve"> 2020 </w:t>
      </w:r>
    </w:p>
    <w:p w14:paraId="3EAF8174" w14:textId="0D87C6B3" w:rsidR="00E55ACC" w:rsidRPr="00F87467" w:rsidRDefault="00E55ACC" w:rsidP="00F87467">
      <w:pPr>
        <w:spacing w:before="60" w:after="60"/>
        <w:ind w:left="5103"/>
        <w:jc w:val="both"/>
        <w:rPr>
          <w:rFonts w:ascii="Times New Roman" w:hAnsi="Times New Roman" w:cs="Times New Roman"/>
          <w:sz w:val="24"/>
          <w:szCs w:val="24"/>
        </w:rPr>
      </w:pPr>
    </w:p>
    <w:p w14:paraId="2CDE82E4" w14:textId="0D197121" w:rsidR="00E55ACC" w:rsidRPr="00F87467" w:rsidRDefault="00E55ACC" w:rsidP="00F87467">
      <w:pPr>
        <w:spacing w:before="60" w:after="60"/>
        <w:ind w:left="5103"/>
        <w:jc w:val="both"/>
        <w:rPr>
          <w:rFonts w:ascii="Times New Roman" w:hAnsi="Times New Roman" w:cs="Times New Roman"/>
          <w:sz w:val="24"/>
          <w:szCs w:val="24"/>
        </w:rPr>
      </w:pPr>
    </w:p>
    <w:p w14:paraId="2415B9CF" w14:textId="77777777" w:rsidR="00E55ACC" w:rsidRPr="00F87467" w:rsidRDefault="00E55ACC" w:rsidP="00F87467">
      <w:pPr>
        <w:spacing w:before="60" w:after="60"/>
        <w:ind w:left="5103"/>
        <w:jc w:val="both"/>
        <w:rPr>
          <w:rFonts w:ascii="Times New Roman" w:hAnsi="Times New Roman" w:cs="Times New Roman"/>
          <w:sz w:val="24"/>
          <w:szCs w:val="24"/>
        </w:rPr>
      </w:pPr>
    </w:p>
    <w:p w14:paraId="6AAA46D3" w14:textId="2B4CC300" w:rsidR="007C0F6A" w:rsidRPr="00F87467" w:rsidRDefault="009A5712" w:rsidP="009A5712">
      <w:pPr>
        <w:pStyle w:val="ListNumber"/>
        <w:numPr>
          <w:ilvl w:val="0"/>
          <w:numId w:val="0"/>
        </w:numPr>
        <w:spacing w:before="60" w:after="60" w:line="276" w:lineRule="auto"/>
        <w:jc w:val="center"/>
        <w:rPr>
          <w:b/>
          <w:szCs w:val="24"/>
          <w:u w:val="single"/>
        </w:rPr>
      </w:pPr>
      <w:r>
        <w:rPr>
          <w:b/>
          <w:szCs w:val="24"/>
          <w:u w:val="single"/>
        </w:rPr>
        <w:t xml:space="preserve">Regulation (EU) 2019/1009 – the </w:t>
      </w:r>
      <w:r w:rsidR="007C0F6A" w:rsidRPr="00F87467">
        <w:rPr>
          <w:b/>
          <w:szCs w:val="24"/>
          <w:u w:val="single"/>
        </w:rPr>
        <w:t>Fertilising Products Regulation</w:t>
      </w:r>
    </w:p>
    <w:p w14:paraId="6399829F" w14:textId="235A4895" w:rsidR="00AA6E16" w:rsidRPr="00F87467" w:rsidRDefault="00AA6E16" w:rsidP="009A5712">
      <w:pPr>
        <w:pStyle w:val="ListNumber"/>
        <w:numPr>
          <w:ilvl w:val="0"/>
          <w:numId w:val="0"/>
        </w:numPr>
        <w:spacing w:before="60" w:after="60" w:line="276" w:lineRule="auto"/>
        <w:jc w:val="center"/>
        <w:rPr>
          <w:b/>
          <w:szCs w:val="24"/>
          <w:u w:val="single"/>
        </w:rPr>
      </w:pPr>
      <w:r w:rsidRPr="00F87467">
        <w:rPr>
          <w:b/>
          <w:szCs w:val="24"/>
          <w:u w:val="single"/>
        </w:rPr>
        <w:t>Frequently Asked Question</w:t>
      </w:r>
      <w:r w:rsidR="00BA5B16" w:rsidRPr="00F87467">
        <w:rPr>
          <w:b/>
          <w:szCs w:val="24"/>
          <w:u w:val="single"/>
        </w:rPr>
        <w:t>s</w:t>
      </w:r>
    </w:p>
    <w:p w14:paraId="0207B475" w14:textId="77777777" w:rsidR="002B7A87" w:rsidRPr="00F87467" w:rsidRDefault="002B7A87" w:rsidP="00F87467">
      <w:pPr>
        <w:pStyle w:val="ListNumber"/>
        <w:numPr>
          <w:ilvl w:val="0"/>
          <w:numId w:val="0"/>
        </w:numPr>
        <w:spacing w:before="60" w:after="60" w:line="276" w:lineRule="auto"/>
        <w:rPr>
          <w:szCs w:val="24"/>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9288"/>
      </w:tblGrid>
      <w:tr w:rsidR="005A24D9" w:rsidRPr="00F87467" w14:paraId="17F21D34" w14:textId="77777777" w:rsidTr="005A24D9">
        <w:tc>
          <w:tcPr>
            <w:tcW w:w="9288" w:type="dxa"/>
          </w:tcPr>
          <w:p w14:paraId="6E820B22" w14:textId="12E14AD4" w:rsidR="00686F4D" w:rsidRPr="00F87467" w:rsidRDefault="00B72DF3" w:rsidP="00F87467">
            <w:pPr>
              <w:spacing w:before="60" w:after="60" w:line="276" w:lineRule="auto"/>
              <w:jc w:val="both"/>
              <w:rPr>
                <w:sz w:val="24"/>
                <w:szCs w:val="24"/>
                <w:lang w:val="en-GB"/>
              </w:rPr>
            </w:pPr>
            <w:r w:rsidRPr="00F87467">
              <w:rPr>
                <w:sz w:val="24"/>
                <w:szCs w:val="24"/>
                <w:lang w:val="en-GB"/>
              </w:rPr>
              <w:t xml:space="preserve">The </w:t>
            </w:r>
            <w:r w:rsidR="007C0F6A" w:rsidRPr="00F87467">
              <w:rPr>
                <w:sz w:val="24"/>
                <w:szCs w:val="24"/>
                <w:lang w:val="en-GB"/>
              </w:rPr>
              <w:t>Frequently Asked Questions (</w:t>
            </w:r>
            <w:r w:rsidRPr="00F87467">
              <w:rPr>
                <w:sz w:val="24"/>
                <w:szCs w:val="24"/>
                <w:lang w:val="en-GB"/>
              </w:rPr>
              <w:t>FAQs</w:t>
            </w:r>
            <w:r w:rsidR="007C0F6A" w:rsidRPr="00F87467">
              <w:rPr>
                <w:sz w:val="24"/>
                <w:szCs w:val="24"/>
                <w:lang w:val="en-GB"/>
              </w:rPr>
              <w:t>)</w:t>
            </w:r>
            <w:r w:rsidRPr="00F87467">
              <w:rPr>
                <w:sz w:val="24"/>
                <w:szCs w:val="24"/>
                <w:lang w:val="en-GB"/>
              </w:rPr>
              <w:t xml:space="preserve"> </w:t>
            </w:r>
            <w:r w:rsidR="004D6CA5" w:rsidRPr="00F87467">
              <w:rPr>
                <w:sz w:val="24"/>
                <w:szCs w:val="24"/>
                <w:lang w:val="en-GB"/>
              </w:rPr>
              <w:t xml:space="preserve">document </w:t>
            </w:r>
            <w:r w:rsidRPr="00F87467">
              <w:rPr>
                <w:sz w:val="24"/>
                <w:szCs w:val="24"/>
                <w:lang w:val="en-GB"/>
              </w:rPr>
              <w:t xml:space="preserve">aims in facilitating the </w:t>
            </w:r>
            <w:r w:rsidR="00686F4D" w:rsidRPr="00F87467">
              <w:rPr>
                <w:sz w:val="24"/>
                <w:szCs w:val="24"/>
                <w:lang w:val="en-GB"/>
              </w:rPr>
              <w:t>implementation</w:t>
            </w:r>
            <w:r w:rsidRPr="00F87467">
              <w:rPr>
                <w:sz w:val="24"/>
                <w:szCs w:val="24"/>
                <w:lang w:val="en-GB"/>
              </w:rPr>
              <w:t xml:space="preserve"> of </w:t>
            </w:r>
            <w:hyperlink r:id="rId9" w:history="1">
              <w:r w:rsidRPr="00F87467">
                <w:rPr>
                  <w:rStyle w:val="Hyperlink"/>
                  <w:sz w:val="24"/>
                  <w:szCs w:val="24"/>
                  <w:lang w:val="en-GB"/>
                </w:rPr>
                <w:t xml:space="preserve">the </w:t>
              </w:r>
              <w:r w:rsidR="00182D1C" w:rsidRPr="00F87467">
                <w:rPr>
                  <w:rStyle w:val="Hyperlink"/>
                  <w:sz w:val="24"/>
                  <w:szCs w:val="24"/>
                  <w:lang w:val="en-GB"/>
                </w:rPr>
                <w:t>F</w:t>
              </w:r>
              <w:r w:rsidRPr="00F87467">
                <w:rPr>
                  <w:rStyle w:val="Hyperlink"/>
                  <w:sz w:val="24"/>
                  <w:szCs w:val="24"/>
                  <w:lang w:val="en-GB"/>
                </w:rPr>
                <w:t xml:space="preserve">ertilising </w:t>
              </w:r>
              <w:r w:rsidR="00182D1C" w:rsidRPr="00F87467">
                <w:rPr>
                  <w:rStyle w:val="Hyperlink"/>
                  <w:sz w:val="24"/>
                  <w:szCs w:val="24"/>
                  <w:lang w:val="en-GB"/>
                </w:rPr>
                <w:t>P</w:t>
              </w:r>
              <w:r w:rsidRPr="00F87467">
                <w:rPr>
                  <w:rStyle w:val="Hyperlink"/>
                  <w:sz w:val="24"/>
                  <w:szCs w:val="24"/>
                  <w:lang w:val="en-GB"/>
                </w:rPr>
                <w:t xml:space="preserve">roducts </w:t>
              </w:r>
              <w:r w:rsidR="00182D1C" w:rsidRPr="00F87467">
                <w:rPr>
                  <w:rStyle w:val="Hyperlink"/>
                  <w:sz w:val="24"/>
                  <w:szCs w:val="24"/>
                  <w:lang w:val="en-GB"/>
                </w:rPr>
                <w:t>R</w:t>
              </w:r>
              <w:r w:rsidRPr="00F87467">
                <w:rPr>
                  <w:rStyle w:val="Hyperlink"/>
                  <w:sz w:val="24"/>
                  <w:szCs w:val="24"/>
                  <w:lang w:val="en-GB"/>
                </w:rPr>
                <w:t>egulation</w:t>
              </w:r>
            </w:hyperlink>
            <w:r w:rsidR="00182D1C" w:rsidRPr="00F87467">
              <w:rPr>
                <w:rFonts w:eastAsiaTheme="minorHAnsi"/>
                <w:sz w:val="24"/>
                <w:szCs w:val="24"/>
                <w:lang w:val="en-GB" w:eastAsia="en-US"/>
              </w:rPr>
              <w:t xml:space="preserve"> (‘FPR’)</w:t>
            </w:r>
            <w:r w:rsidR="002B2A60" w:rsidRPr="00F87467">
              <w:rPr>
                <w:rFonts w:eastAsiaTheme="minorHAnsi"/>
                <w:sz w:val="24"/>
                <w:szCs w:val="24"/>
                <w:lang w:val="en-GB" w:eastAsia="en-US"/>
              </w:rPr>
              <w:t xml:space="preserve"> by providing guidance to both </w:t>
            </w:r>
            <w:r w:rsidR="0031388C" w:rsidRPr="00F87467">
              <w:rPr>
                <w:rFonts w:eastAsiaTheme="minorHAnsi"/>
                <w:sz w:val="24"/>
                <w:szCs w:val="24"/>
                <w:lang w:val="en-GB" w:eastAsia="en-US"/>
              </w:rPr>
              <w:t>national authorities</w:t>
            </w:r>
            <w:r w:rsidR="002B2A60" w:rsidRPr="00F87467">
              <w:rPr>
                <w:rFonts w:eastAsiaTheme="minorHAnsi"/>
                <w:sz w:val="24"/>
                <w:szCs w:val="24"/>
                <w:lang w:val="en-GB" w:eastAsia="en-US"/>
              </w:rPr>
              <w:t xml:space="preserve"> and economic operators</w:t>
            </w:r>
            <w:r w:rsidR="00686F4D" w:rsidRPr="00F87467">
              <w:rPr>
                <w:rFonts w:eastAsiaTheme="minorHAnsi"/>
                <w:sz w:val="24"/>
                <w:szCs w:val="24"/>
                <w:lang w:val="en-GB" w:eastAsia="en-US"/>
              </w:rPr>
              <w:t xml:space="preserve">. </w:t>
            </w:r>
            <w:r w:rsidRPr="00F87467">
              <w:rPr>
                <w:rFonts w:eastAsiaTheme="minorHAnsi"/>
                <w:sz w:val="24"/>
                <w:szCs w:val="24"/>
                <w:lang w:val="en-GB" w:eastAsia="en-US"/>
              </w:rPr>
              <w:t>In this regard,</w:t>
            </w:r>
            <w:r w:rsidR="00686F4D" w:rsidRPr="00F87467">
              <w:rPr>
                <w:rFonts w:eastAsiaTheme="minorHAnsi"/>
                <w:sz w:val="24"/>
                <w:szCs w:val="24"/>
                <w:lang w:val="en-GB" w:eastAsia="en-US"/>
              </w:rPr>
              <w:t xml:space="preserve"> </w:t>
            </w:r>
            <w:r w:rsidR="00BB1136" w:rsidRPr="00F87467">
              <w:rPr>
                <w:rFonts w:eastAsiaTheme="minorHAnsi"/>
                <w:sz w:val="24"/>
                <w:szCs w:val="24"/>
                <w:lang w:val="en-GB" w:eastAsia="en-US"/>
              </w:rPr>
              <w:t>this document</w:t>
            </w:r>
            <w:r w:rsidRPr="00F87467">
              <w:rPr>
                <w:rFonts w:eastAsiaTheme="minorHAnsi"/>
                <w:sz w:val="24"/>
                <w:szCs w:val="24"/>
                <w:lang w:val="en-GB" w:eastAsia="en-US"/>
              </w:rPr>
              <w:t xml:space="preserve"> focus</w:t>
            </w:r>
            <w:r w:rsidR="00BB1136" w:rsidRPr="00F87467">
              <w:rPr>
                <w:rFonts w:eastAsiaTheme="minorHAnsi"/>
                <w:sz w:val="24"/>
                <w:szCs w:val="24"/>
                <w:lang w:val="en-GB" w:eastAsia="en-US"/>
              </w:rPr>
              <w:t>es</w:t>
            </w:r>
            <w:r w:rsidRPr="00F87467">
              <w:rPr>
                <w:rFonts w:eastAsiaTheme="minorHAnsi"/>
                <w:sz w:val="24"/>
                <w:szCs w:val="24"/>
                <w:lang w:val="en-GB" w:eastAsia="en-US"/>
              </w:rPr>
              <w:t xml:space="preserve"> on </w:t>
            </w:r>
            <w:r w:rsidR="00686F4D" w:rsidRPr="00F87467">
              <w:rPr>
                <w:rFonts w:eastAsiaTheme="minorHAnsi"/>
                <w:sz w:val="24"/>
                <w:szCs w:val="24"/>
                <w:lang w:val="en-GB" w:eastAsia="en-US"/>
              </w:rPr>
              <w:t>issues that could raise difficulties in practice</w:t>
            </w:r>
            <w:r w:rsidRPr="00F87467">
              <w:rPr>
                <w:sz w:val="24"/>
                <w:szCs w:val="24"/>
                <w:lang w:val="en-GB"/>
              </w:rPr>
              <w:t>.</w:t>
            </w:r>
          </w:p>
          <w:p w14:paraId="3E415F6B" w14:textId="100ADEA4" w:rsidR="007C0F6A" w:rsidRPr="00F87467" w:rsidRDefault="00507FA6" w:rsidP="00F87467">
            <w:pPr>
              <w:spacing w:before="60" w:after="60" w:line="276" w:lineRule="auto"/>
              <w:jc w:val="both"/>
              <w:rPr>
                <w:sz w:val="24"/>
                <w:szCs w:val="24"/>
                <w:lang w:val="en-GB"/>
              </w:rPr>
            </w:pPr>
            <w:r w:rsidRPr="00F87467">
              <w:rPr>
                <w:sz w:val="24"/>
                <w:szCs w:val="24"/>
                <w:lang w:val="en-GB"/>
              </w:rPr>
              <w:t>The</w:t>
            </w:r>
            <w:r w:rsidR="00B73379" w:rsidRPr="00F87467">
              <w:rPr>
                <w:sz w:val="24"/>
                <w:szCs w:val="24"/>
                <w:lang w:val="en-GB"/>
              </w:rPr>
              <w:t xml:space="preserve"> answers </w:t>
            </w:r>
            <w:r w:rsidRPr="00F87467">
              <w:rPr>
                <w:sz w:val="24"/>
                <w:szCs w:val="24"/>
                <w:lang w:val="en-GB"/>
              </w:rPr>
              <w:t xml:space="preserve">in the FAQs document </w:t>
            </w:r>
            <w:r w:rsidR="00B73379" w:rsidRPr="00F87467">
              <w:rPr>
                <w:sz w:val="24"/>
                <w:szCs w:val="24"/>
                <w:lang w:val="en-GB"/>
              </w:rPr>
              <w:t>represent the opinion of the Commission services</w:t>
            </w:r>
            <w:r w:rsidRPr="00F87467">
              <w:rPr>
                <w:sz w:val="24"/>
                <w:szCs w:val="24"/>
                <w:lang w:val="en-GB"/>
              </w:rPr>
              <w:t xml:space="preserve"> in charge of </w:t>
            </w:r>
            <w:r w:rsidR="007C0F6A" w:rsidRPr="00F87467">
              <w:rPr>
                <w:sz w:val="24"/>
                <w:szCs w:val="24"/>
                <w:lang w:val="en-GB"/>
              </w:rPr>
              <w:t xml:space="preserve">the </w:t>
            </w:r>
            <w:r w:rsidRPr="00F87467">
              <w:rPr>
                <w:sz w:val="24"/>
                <w:szCs w:val="24"/>
                <w:lang w:val="en-GB"/>
              </w:rPr>
              <w:t>FPR,</w:t>
            </w:r>
            <w:r w:rsidR="00B73379" w:rsidRPr="00F87467">
              <w:rPr>
                <w:sz w:val="24"/>
                <w:szCs w:val="24"/>
                <w:lang w:val="en-GB"/>
              </w:rPr>
              <w:t xml:space="preserve"> but may not necessarily represent the</w:t>
            </w:r>
            <w:r w:rsidRPr="00F87467">
              <w:rPr>
                <w:sz w:val="24"/>
                <w:szCs w:val="24"/>
                <w:lang w:val="en-GB"/>
              </w:rPr>
              <w:t xml:space="preserve"> opinion of the Commission. The</w:t>
            </w:r>
            <w:r w:rsidR="00B73379" w:rsidRPr="00F87467">
              <w:rPr>
                <w:sz w:val="24"/>
                <w:szCs w:val="24"/>
                <w:lang w:val="en-GB"/>
              </w:rPr>
              <w:t xml:space="preserve"> document </w:t>
            </w:r>
            <w:r w:rsidR="00BB1136" w:rsidRPr="00F87467">
              <w:rPr>
                <w:sz w:val="24"/>
                <w:szCs w:val="24"/>
                <w:lang w:val="en-GB"/>
              </w:rPr>
              <w:t xml:space="preserve">does </w:t>
            </w:r>
            <w:r w:rsidR="00B73379" w:rsidRPr="00F87467">
              <w:rPr>
                <w:sz w:val="24"/>
                <w:szCs w:val="24"/>
                <w:lang w:val="en-GB"/>
              </w:rPr>
              <w:t>not constitute any formal commitment on behalf of the Commission. Only the Court of Justice</w:t>
            </w:r>
            <w:r w:rsidR="007C0F6A" w:rsidRPr="00F87467">
              <w:rPr>
                <w:sz w:val="24"/>
                <w:szCs w:val="24"/>
                <w:lang w:val="en-GB"/>
              </w:rPr>
              <w:t xml:space="preserve"> of the European Union</w:t>
            </w:r>
            <w:r w:rsidR="00B73379" w:rsidRPr="00F87467">
              <w:rPr>
                <w:sz w:val="24"/>
                <w:szCs w:val="24"/>
                <w:lang w:val="en-GB"/>
              </w:rPr>
              <w:t xml:space="preserve"> can give an authoritative interpretation of </w:t>
            </w:r>
            <w:r w:rsidR="00BB1136" w:rsidRPr="00F87467">
              <w:rPr>
                <w:sz w:val="24"/>
                <w:szCs w:val="24"/>
                <w:lang w:val="en-GB"/>
              </w:rPr>
              <w:t xml:space="preserve">the </w:t>
            </w:r>
            <w:r w:rsidR="007C0F6A" w:rsidRPr="00F87467">
              <w:rPr>
                <w:sz w:val="24"/>
                <w:szCs w:val="24"/>
                <w:lang w:val="en-GB"/>
              </w:rPr>
              <w:t xml:space="preserve">EU </w:t>
            </w:r>
            <w:r w:rsidR="00B73379" w:rsidRPr="00F87467">
              <w:rPr>
                <w:sz w:val="24"/>
                <w:szCs w:val="24"/>
                <w:lang w:val="en-GB"/>
              </w:rPr>
              <w:t>legislation.</w:t>
            </w:r>
            <w:r w:rsidR="007C0F6A" w:rsidRPr="00F87467">
              <w:rPr>
                <w:sz w:val="24"/>
                <w:szCs w:val="24"/>
                <w:lang w:val="en-GB"/>
              </w:rPr>
              <w:t xml:space="preserve"> </w:t>
            </w:r>
          </w:p>
          <w:p w14:paraId="7944A702" w14:textId="26A22FE3" w:rsidR="007C0F6A" w:rsidRPr="00F87467" w:rsidRDefault="007C0F6A" w:rsidP="00F87467">
            <w:pPr>
              <w:spacing w:before="60" w:after="60" w:line="276" w:lineRule="auto"/>
              <w:jc w:val="both"/>
              <w:rPr>
                <w:sz w:val="24"/>
                <w:szCs w:val="24"/>
                <w:lang w:val="en-GB"/>
              </w:rPr>
            </w:pPr>
            <w:r w:rsidRPr="004D3D1F">
              <w:rPr>
                <w:sz w:val="24"/>
                <w:szCs w:val="24"/>
                <w:lang w:val="en-GB"/>
              </w:rPr>
              <w:t>The</w:t>
            </w:r>
            <w:r w:rsidR="00BB1136" w:rsidRPr="004D3D1F">
              <w:rPr>
                <w:sz w:val="24"/>
                <w:szCs w:val="24"/>
                <w:lang w:val="en-GB"/>
              </w:rPr>
              <w:t>se</w:t>
            </w:r>
            <w:r w:rsidRPr="004D3D1F">
              <w:rPr>
                <w:sz w:val="24"/>
                <w:szCs w:val="24"/>
                <w:lang w:val="en-GB"/>
              </w:rPr>
              <w:t xml:space="preserve"> answers have been discussed in the Commission expert group on Fertilising Products</w:t>
            </w:r>
            <w:r w:rsidR="0031388C" w:rsidRPr="004D3D1F">
              <w:rPr>
                <w:sz w:val="24"/>
                <w:szCs w:val="24"/>
                <w:lang w:val="en-GB"/>
              </w:rPr>
              <w:t xml:space="preserve"> in the meetings held on </w:t>
            </w:r>
            <w:r w:rsidR="00F87467" w:rsidRPr="004D3D1F">
              <w:rPr>
                <w:sz w:val="24"/>
                <w:szCs w:val="24"/>
                <w:lang w:val="en-GB"/>
              </w:rPr>
              <w:t xml:space="preserve">7 </w:t>
            </w:r>
            <w:r w:rsidR="00D4150B">
              <w:rPr>
                <w:sz w:val="24"/>
                <w:szCs w:val="24"/>
                <w:lang w:val="en-GB"/>
              </w:rPr>
              <w:t>N</w:t>
            </w:r>
            <w:r w:rsidR="009A281C">
              <w:rPr>
                <w:sz w:val="24"/>
                <w:szCs w:val="24"/>
                <w:lang w:val="en-GB"/>
              </w:rPr>
              <w:t xml:space="preserve">ovember 2019, </w:t>
            </w:r>
            <w:r w:rsidR="00F87467" w:rsidRPr="004D3D1F">
              <w:rPr>
                <w:sz w:val="24"/>
                <w:szCs w:val="24"/>
                <w:lang w:val="en-GB"/>
              </w:rPr>
              <w:t>25 June</w:t>
            </w:r>
            <w:r w:rsidR="009A281C">
              <w:rPr>
                <w:sz w:val="24"/>
                <w:szCs w:val="24"/>
                <w:lang w:val="en-GB"/>
              </w:rPr>
              <w:t xml:space="preserve"> and 24 November</w:t>
            </w:r>
            <w:r w:rsidR="00F87467" w:rsidRPr="004D3D1F">
              <w:rPr>
                <w:sz w:val="24"/>
                <w:szCs w:val="24"/>
                <w:lang w:val="en-GB"/>
              </w:rPr>
              <w:t xml:space="preserve"> 2020</w:t>
            </w:r>
            <w:r w:rsidR="007141CC" w:rsidRPr="004D3D1F">
              <w:rPr>
                <w:sz w:val="24"/>
                <w:szCs w:val="24"/>
                <w:lang w:val="en-GB"/>
              </w:rPr>
              <w:t xml:space="preserve"> and </w:t>
            </w:r>
            <w:r w:rsidR="0031388C" w:rsidRPr="004D3D1F">
              <w:rPr>
                <w:sz w:val="24"/>
                <w:szCs w:val="24"/>
                <w:lang w:val="en-GB"/>
              </w:rPr>
              <w:t>endorsed by the Group on</w:t>
            </w:r>
            <w:r w:rsidR="00F87467" w:rsidRPr="004D3D1F">
              <w:rPr>
                <w:sz w:val="24"/>
                <w:szCs w:val="24"/>
                <w:lang w:val="en-GB"/>
              </w:rPr>
              <w:t xml:space="preserve"> 24 </w:t>
            </w:r>
            <w:r w:rsidR="00D4150B">
              <w:rPr>
                <w:sz w:val="24"/>
                <w:szCs w:val="24"/>
                <w:lang w:val="en-GB"/>
              </w:rPr>
              <w:t>N</w:t>
            </w:r>
            <w:r w:rsidR="00F87467" w:rsidRPr="004D3D1F">
              <w:rPr>
                <w:sz w:val="24"/>
                <w:szCs w:val="24"/>
                <w:lang w:val="en-GB"/>
              </w:rPr>
              <w:t>ovember 2020</w:t>
            </w:r>
            <w:r w:rsidR="00C4330C">
              <w:rPr>
                <w:sz w:val="24"/>
                <w:szCs w:val="24"/>
                <w:lang w:val="en-GB"/>
              </w:rPr>
              <w:t>.</w:t>
            </w:r>
            <w:r w:rsidR="00F87467" w:rsidRPr="004D3D1F">
              <w:rPr>
                <w:sz w:val="24"/>
                <w:szCs w:val="24"/>
                <w:lang w:val="en-GB"/>
              </w:rPr>
              <w:t xml:space="preserve"> </w:t>
            </w:r>
            <w:r w:rsidR="0031388C" w:rsidRPr="004D3D1F">
              <w:rPr>
                <w:sz w:val="24"/>
                <w:szCs w:val="24"/>
                <w:lang w:val="en-GB"/>
              </w:rPr>
              <w:t>All document</w:t>
            </w:r>
            <w:r w:rsidR="00724A7B" w:rsidRPr="004D3D1F">
              <w:rPr>
                <w:sz w:val="24"/>
                <w:szCs w:val="24"/>
                <w:lang w:val="en-GB"/>
              </w:rPr>
              <w:t>s</w:t>
            </w:r>
            <w:r w:rsidR="0031388C" w:rsidRPr="004D3D1F">
              <w:rPr>
                <w:sz w:val="24"/>
                <w:szCs w:val="24"/>
                <w:lang w:val="en-GB"/>
              </w:rPr>
              <w:t xml:space="preserve"> concerning these meetings can be found </w:t>
            </w:r>
            <w:hyperlink r:id="rId10" w:history="1">
              <w:r w:rsidR="0031388C" w:rsidRPr="004D3D1F">
                <w:rPr>
                  <w:rStyle w:val="Hyperlink"/>
                  <w:sz w:val="24"/>
                  <w:szCs w:val="24"/>
                  <w:lang w:val="en-GB"/>
                </w:rPr>
                <w:t>on the CircABC page of the group</w:t>
              </w:r>
            </w:hyperlink>
            <w:r w:rsidR="0031388C" w:rsidRPr="004D3D1F">
              <w:rPr>
                <w:rFonts w:eastAsiaTheme="minorHAnsi"/>
                <w:sz w:val="24"/>
                <w:szCs w:val="24"/>
                <w:lang w:val="en-GB" w:eastAsia="en-US"/>
              </w:rPr>
              <w:t>.</w:t>
            </w:r>
            <w:r w:rsidR="0031388C" w:rsidRPr="00F87467">
              <w:rPr>
                <w:rFonts w:eastAsiaTheme="minorHAnsi"/>
                <w:sz w:val="24"/>
                <w:szCs w:val="24"/>
                <w:lang w:val="en-GB" w:eastAsia="en-US"/>
              </w:rPr>
              <w:t xml:space="preserve"> </w:t>
            </w:r>
          </w:p>
          <w:p w14:paraId="0DF1FFE1" w14:textId="4C760579" w:rsidR="005A24D9" w:rsidRPr="00F87467" w:rsidRDefault="007C0F6A" w:rsidP="00F87467">
            <w:pPr>
              <w:spacing w:before="60" w:after="60" w:line="276" w:lineRule="auto"/>
              <w:jc w:val="both"/>
              <w:rPr>
                <w:sz w:val="24"/>
                <w:szCs w:val="24"/>
                <w:lang w:val="en-GB"/>
              </w:rPr>
            </w:pPr>
            <w:r w:rsidRPr="00F87467">
              <w:rPr>
                <w:sz w:val="24"/>
                <w:szCs w:val="24"/>
                <w:lang w:val="en-GB"/>
              </w:rPr>
              <w:t xml:space="preserve">The FAQs is by definition a living document, which will be periodically updated by the Commission services depending on the need. </w:t>
            </w:r>
          </w:p>
        </w:tc>
      </w:tr>
    </w:tbl>
    <w:p w14:paraId="5956E9C4" w14:textId="1614DB01" w:rsidR="002C2CCD" w:rsidRDefault="002C2CCD">
      <w:pPr>
        <w:rPr>
          <w:rFonts w:ascii="Times New Roman" w:hAnsi="Times New Roman" w:cs="Times New Roman"/>
          <w:sz w:val="24"/>
          <w:szCs w:val="24"/>
        </w:rPr>
      </w:pPr>
      <w:r>
        <w:rPr>
          <w:rFonts w:ascii="Times New Roman" w:hAnsi="Times New Roman" w:cs="Times New Roman"/>
          <w:sz w:val="24"/>
          <w:szCs w:val="24"/>
        </w:rPr>
        <w:br w:type="page"/>
      </w:r>
    </w:p>
    <w:sdt>
      <w:sdtPr>
        <w:rPr>
          <w:rFonts w:ascii="Times New Roman" w:eastAsiaTheme="minorHAnsi" w:hAnsi="Times New Roman" w:cs="Times New Roman"/>
          <w:color w:val="auto"/>
          <w:sz w:val="24"/>
          <w:szCs w:val="24"/>
          <w:lang w:val="en-GB"/>
        </w:rPr>
        <w:id w:val="-1623149290"/>
        <w:docPartObj>
          <w:docPartGallery w:val="Table of Contents"/>
          <w:docPartUnique/>
        </w:docPartObj>
      </w:sdtPr>
      <w:sdtEndPr>
        <w:rPr>
          <w:b/>
          <w:bCs/>
          <w:noProof/>
        </w:rPr>
      </w:sdtEndPr>
      <w:sdtContent>
        <w:p w14:paraId="2A1C971B" w14:textId="1470103A" w:rsidR="00AE2609" w:rsidRPr="00F87467" w:rsidRDefault="00AE2609" w:rsidP="00F87467">
          <w:pPr>
            <w:pStyle w:val="TOCHeading"/>
            <w:spacing w:before="60" w:after="60" w:line="276" w:lineRule="auto"/>
            <w:jc w:val="both"/>
            <w:rPr>
              <w:rFonts w:ascii="Times New Roman" w:hAnsi="Times New Roman" w:cs="Times New Roman"/>
              <w:sz w:val="24"/>
              <w:szCs w:val="24"/>
              <w:lang w:val="en-GB"/>
            </w:rPr>
          </w:pPr>
          <w:r w:rsidRPr="00F87467">
            <w:rPr>
              <w:rFonts w:ascii="Times New Roman" w:hAnsi="Times New Roman" w:cs="Times New Roman"/>
              <w:sz w:val="24"/>
              <w:szCs w:val="24"/>
              <w:lang w:val="en-GB"/>
            </w:rPr>
            <w:t>Contents</w:t>
          </w:r>
        </w:p>
        <w:p w14:paraId="54565B63" w14:textId="556E4209" w:rsidR="0047062D" w:rsidRDefault="00AE2609">
          <w:pPr>
            <w:pStyle w:val="TOC1"/>
            <w:rPr>
              <w:rFonts w:eastAsiaTheme="minorEastAsia"/>
              <w:noProof/>
              <w:lang w:val="en-IE" w:eastAsia="en-IE"/>
            </w:rPr>
          </w:pPr>
          <w:r w:rsidRPr="00F87467">
            <w:rPr>
              <w:rFonts w:ascii="Times New Roman" w:hAnsi="Times New Roman" w:cs="Times New Roman"/>
              <w:sz w:val="24"/>
              <w:szCs w:val="24"/>
            </w:rPr>
            <w:fldChar w:fldCharType="begin"/>
          </w:r>
          <w:r w:rsidRPr="00F87467">
            <w:rPr>
              <w:rFonts w:ascii="Times New Roman" w:hAnsi="Times New Roman" w:cs="Times New Roman"/>
              <w:sz w:val="24"/>
              <w:szCs w:val="24"/>
            </w:rPr>
            <w:instrText xml:space="preserve"> TOC \o "1-3" \h \z \u </w:instrText>
          </w:r>
          <w:r w:rsidRPr="00F87467">
            <w:rPr>
              <w:rFonts w:ascii="Times New Roman" w:hAnsi="Times New Roman" w:cs="Times New Roman"/>
              <w:sz w:val="24"/>
              <w:szCs w:val="24"/>
            </w:rPr>
            <w:fldChar w:fldCharType="separate"/>
          </w:r>
          <w:hyperlink w:anchor="_Toc59185365" w:history="1">
            <w:r w:rsidR="0047062D" w:rsidRPr="002F4B34">
              <w:rPr>
                <w:rStyle w:val="Hyperlink"/>
                <w:rFonts w:ascii="Times New Roman" w:hAnsi="Times New Roman" w:cs="Times New Roman"/>
                <w:noProof/>
              </w:rPr>
              <w:t>Abbreviations:</w:t>
            </w:r>
            <w:r w:rsidR="0047062D">
              <w:rPr>
                <w:noProof/>
                <w:webHidden/>
              </w:rPr>
              <w:tab/>
            </w:r>
            <w:r w:rsidR="0047062D">
              <w:rPr>
                <w:noProof/>
                <w:webHidden/>
              </w:rPr>
              <w:fldChar w:fldCharType="begin"/>
            </w:r>
            <w:r w:rsidR="0047062D">
              <w:rPr>
                <w:noProof/>
                <w:webHidden/>
              </w:rPr>
              <w:instrText xml:space="preserve"> PAGEREF _Toc59185365 \h </w:instrText>
            </w:r>
            <w:r w:rsidR="0047062D">
              <w:rPr>
                <w:noProof/>
                <w:webHidden/>
              </w:rPr>
            </w:r>
            <w:r w:rsidR="0047062D">
              <w:rPr>
                <w:noProof/>
                <w:webHidden/>
              </w:rPr>
              <w:fldChar w:fldCharType="separate"/>
            </w:r>
            <w:r w:rsidR="0047062D">
              <w:rPr>
                <w:noProof/>
                <w:webHidden/>
              </w:rPr>
              <w:t>6</w:t>
            </w:r>
            <w:r w:rsidR="0047062D">
              <w:rPr>
                <w:noProof/>
                <w:webHidden/>
              </w:rPr>
              <w:fldChar w:fldCharType="end"/>
            </w:r>
          </w:hyperlink>
        </w:p>
        <w:p w14:paraId="0FFCDA02" w14:textId="53768161" w:rsidR="0047062D" w:rsidRDefault="00205423">
          <w:pPr>
            <w:pStyle w:val="TOC1"/>
            <w:tabs>
              <w:tab w:val="left" w:pos="440"/>
            </w:tabs>
            <w:rPr>
              <w:rFonts w:eastAsiaTheme="minorEastAsia"/>
              <w:noProof/>
              <w:lang w:val="en-IE" w:eastAsia="en-IE"/>
            </w:rPr>
          </w:pPr>
          <w:hyperlink w:anchor="_Toc59185366" w:history="1">
            <w:r w:rsidR="0047062D" w:rsidRPr="002F4B34">
              <w:rPr>
                <w:rStyle w:val="Hyperlink"/>
                <w:rFonts w:ascii="Times New Roman" w:hAnsi="Times New Roman" w:cs="Times New Roman"/>
                <w:noProof/>
              </w:rPr>
              <w:t>1.</w:t>
            </w:r>
            <w:r w:rsidR="0047062D">
              <w:rPr>
                <w:rFonts w:eastAsiaTheme="minorEastAsia"/>
                <w:noProof/>
                <w:lang w:val="en-IE" w:eastAsia="en-IE"/>
              </w:rPr>
              <w:tab/>
            </w:r>
            <w:r w:rsidR="0047062D" w:rsidRPr="002F4B34">
              <w:rPr>
                <w:rStyle w:val="Hyperlink"/>
                <w:rFonts w:ascii="Times New Roman" w:hAnsi="Times New Roman" w:cs="Times New Roman"/>
                <w:noProof/>
              </w:rPr>
              <w:t>The scope of the FPR</w:t>
            </w:r>
            <w:r w:rsidR="0047062D">
              <w:rPr>
                <w:noProof/>
                <w:webHidden/>
              </w:rPr>
              <w:tab/>
            </w:r>
            <w:r w:rsidR="0047062D">
              <w:rPr>
                <w:noProof/>
                <w:webHidden/>
              </w:rPr>
              <w:fldChar w:fldCharType="begin"/>
            </w:r>
            <w:r w:rsidR="0047062D">
              <w:rPr>
                <w:noProof/>
                <w:webHidden/>
              </w:rPr>
              <w:instrText xml:space="preserve"> PAGEREF _Toc59185366 \h </w:instrText>
            </w:r>
            <w:r w:rsidR="0047062D">
              <w:rPr>
                <w:noProof/>
                <w:webHidden/>
              </w:rPr>
            </w:r>
            <w:r w:rsidR="0047062D">
              <w:rPr>
                <w:noProof/>
                <w:webHidden/>
              </w:rPr>
              <w:fldChar w:fldCharType="separate"/>
            </w:r>
            <w:r w:rsidR="0047062D">
              <w:rPr>
                <w:noProof/>
                <w:webHidden/>
              </w:rPr>
              <w:t>7</w:t>
            </w:r>
            <w:r w:rsidR="0047062D">
              <w:rPr>
                <w:noProof/>
                <w:webHidden/>
              </w:rPr>
              <w:fldChar w:fldCharType="end"/>
            </w:r>
          </w:hyperlink>
        </w:p>
        <w:p w14:paraId="7244278F" w14:textId="02EC3905" w:rsidR="0047062D" w:rsidRDefault="00205423">
          <w:pPr>
            <w:pStyle w:val="TOC2"/>
            <w:tabs>
              <w:tab w:val="left" w:pos="880"/>
              <w:tab w:val="right" w:leader="dot" w:pos="9062"/>
            </w:tabs>
            <w:rPr>
              <w:rFonts w:eastAsiaTheme="minorEastAsia"/>
              <w:noProof/>
              <w:lang w:val="en-IE" w:eastAsia="en-IE"/>
            </w:rPr>
          </w:pPr>
          <w:hyperlink w:anchor="_Toc59185367" w:history="1">
            <w:r w:rsidR="0047062D" w:rsidRPr="002F4B34">
              <w:rPr>
                <w:rStyle w:val="Hyperlink"/>
                <w:noProof/>
              </w:rPr>
              <w:t>1.1</w:t>
            </w:r>
            <w:r w:rsidR="0047062D">
              <w:rPr>
                <w:rFonts w:eastAsiaTheme="minorEastAsia"/>
                <w:noProof/>
                <w:lang w:val="en-IE" w:eastAsia="en-IE"/>
              </w:rPr>
              <w:tab/>
            </w:r>
            <w:r w:rsidR="0047062D" w:rsidRPr="002F4B34">
              <w:rPr>
                <w:rStyle w:val="Hyperlink"/>
                <w:noProof/>
              </w:rPr>
              <w:t>What is a fertilising product?</w:t>
            </w:r>
            <w:r w:rsidR="0047062D">
              <w:rPr>
                <w:noProof/>
                <w:webHidden/>
              </w:rPr>
              <w:tab/>
            </w:r>
            <w:r w:rsidR="0047062D">
              <w:rPr>
                <w:noProof/>
                <w:webHidden/>
              </w:rPr>
              <w:fldChar w:fldCharType="begin"/>
            </w:r>
            <w:r w:rsidR="0047062D">
              <w:rPr>
                <w:noProof/>
                <w:webHidden/>
              </w:rPr>
              <w:instrText xml:space="preserve"> PAGEREF _Toc59185367 \h </w:instrText>
            </w:r>
            <w:r w:rsidR="0047062D">
              <w:rPr>
                <w:noProof/>
                <w:webHidden/>
              </w:rPr>
            </w:r>
            <w:r w:rsidR="0047062D">
              <w:rPr>
                <w:noProof/>
                <w:webHidden/>
              </w:rPr>
              <w:fldChar w:fldCharType="separate"/>
            </w:r>
            <w:r w:rsidR="0047062D">
              <w:rPr>
                <w:noProof/>
                <w:webHidden/>
              </w:rPr>
              <w:t>7</w:t>
            </w:r>
            <w:r w:rsidR="0047062D">
              <w:rPr>
                <w:noProof/>
                <w:webHidden/>
              </w:rPr>
              <w:fldChar w:fldCharType="end"/>
            </w:r>
          </w:hyperlink>
        </w:p>
        <w:p w14:paraId="3BAE98ED" w14:textId="1754BA1A" w:rsidR="0047062D" w:rsidRDefault="00205423">
          <w:pPr>
            <w:pStyle w:val="TOC2"/>
            <w:tabs>
              <w:tab w:val="left" w:pos="880"/>
              <w:tab w:val="right" w:leader="dot" w:pos="9062"/>
            </w:tabs>
            <w:rPr>
              <w:rFonts w:eastAsiaTheme="minorEastAsia"/>
              <w:noProof/>
              <w:lang w:val="en-IE" w:eastAsia="en-IE"/>
            </w:rPr>
          </w:pPr>
          <w:hyperlink w:anchor="_Toc59185368" w:history="1">
            <w:r w:rsidR="0047062D" w:rsidRPr="002F4B34">
              <w:rPr>
                <w:rStyle w:val="Hyperlink"/>
                <w:noProof/>
              </w:rPr>
              <w:t>1.2</w:t>
            </w:r>
            <w:r w:rsidR="0047062D">
              <w:rPr>
                <w:rFonts w:eastAsiaTheme="minorEastAsia"/>
                <w:noProof/>
                <w:lang w:val="en-IE" w:eastAsia="en-IE"/>
              </w:rPr>
              <w:tab/>
            </w:r>
            <w:r w:rsidR="0047062D" w:rsidRPr="002F4B34">
              <w:rPr>
                <w:rStyle w:val="Hyperlink"/>
                <w:noProof/>
              </w:rPr>
              <w:t>What is an EU fertilising product?</w:t>
            </w:r>
            <w:r w:rsidR="0047062D">
              <w:rPr>
                <w:noProof/>
                <w:webHidden/>
              </w:rPr>
              <w:tab/>
            </w:r>
            <w:r w:rsidR="0047062D">
              <w:rPr>
                <w:noProof/>
                <w:webHidden/>
              </w:rPr>
              <w:fldChar w:fldCharType="begin"/>
            </w:r>
            <w:r w:rsidR="0047062D">
              <w:rPr>
                <w:noProof/>
                <w:webHidden/>
              </w:rPr>
              <w:instrText xml:space="preserve"> PAGEREF _Toc59185368 \h </w:instrText>
            </w:r>
            <w:r w:rsidR="0047062D">
              <w:rPr>
                <w:noProof/>
                <w:webHidden/>
              </w:rPr>
            </w:r>
            <w:r w:rsidR="0047062D">
              <w:rPr>
                <w:noProof/>
                <w:webHidden/>
              </w:rPr>
              <w:fldChar w:fldCharType="separate"/>
            </w:r>
            <w:r w:rsidR="0047062D">
              <w:rPr>
                <w:noProof/>
                <w:webHidden/>
              </w:rPr>
              <w:t>7</w:t>
            </w:r>
            <w:r w:rsidR="0047062D">
              <w:rPr>
                <w:noProof/>
                <w:webHidden/>
              </w:rPr>
              <w:fldChar w:fldCharType="end"/>
            </w:r>
          </w:hyperlink>
        </w:p>
        <w:p w14:paraId="342D9F3B" w14:textId="5E9124D0" w:rsidR="0047062D" w:rsidRDefault="00205423">
          <w:pPr>
            <w:pStyle w:val="TOC2"/>
            <w:tabs>
              <w:tab w:val="left" w:pos="880"/>
              <w:tab w:val="right" w:leader="dot" w:pos="9062"/>
            </w:tabs>
            <w:rPr>
              <w:rFonts w:eastAsiaTheme="minorEastAsia"/>
              <w:noProof/>
              <w:lang w:val="en-IE" w:eastAsia="en-IE"/>
            </w:rPr>
          </w:pPr>
          <w:hyperlink w:anchor="_Toc59185369" w:history="1">
            <w:r w:rsidR="0047062D" w:rsidRPr="002F4B34">
              <w:rPr>
                <w:rStyle w:val="Hyperlink"/>
                <w:noProof/>
              </w:rPr>
              <w:t>1.3</w:t>
            </w:r>
            <w:r w:rsidR="0047062D">
              <w:rPr>
                <w:rFonts w:eastAsiaTheme="minorEastAsia"/>
                <w:noProof/>
                <w:lang w:val="en-IE" w:eastAsia="en-IE"/>
              </w:rPr>
              <w:tab/>
            </w:r>
            <w:r w:rsidR="0047062D" w:rsidRPr="002F4B34">
              <w:rPr>
                <w:rStyle w:val="Hyperlink"/>
                <w:noProof/>
              </w:rPr>
              <w:t>Does the FPR cover fertilising products containing substances or microorganisms which have a pesticide effect, such as copper compounds or calcium cyanamide?</w:t>
            </w:r>
            <w:r w:rsidR="0047062D">
              <w:rPr>
                <w:noProof/>
                <w:webHidden/>
              </w:rPr>
              <w:tab/>
            </w:r>
            <w:r w:rsidR="0047062D">
              <w:rPr>
                <w:noProof/>
                <w:webHidden/>
              </w:rPr>
              <w:fldChar w:fldCharType="begin"/>
            </w:r>
            <w:r w:rsidR="0047062D">
              <w:rPr>
                <w:noProof/>
                <w:webHidden/>
              </w:rPr>
              <w:instrText xml:space="preserve"> PAGEREF _Toc59185369 \h </w:instrText>
            </w:r>
            <w:r w:rsidR="0047062D">
              <w:rPr>
                <w:noProof/>
                <w:webHidden/>
              </w:rPr>
            </w:r>
            <w:r w:rsidR="0047062D">
              <w:rPr>
                <w:noProof/>
                <w:webHidden/>
              </w:rPr>
              <w:fldChar w:fldCharType="separate"/>
            </w:r>
            <w:r w:rsidR="0047062D">
              <w:rPr>
                <w:noProof/>
                <w:webHidden/>
              </w:rPr>
              <w:t>7</w:t>
            </w:r>
            <w:r w:rsidR="0047062D">
              <w:rPr>
                <w:noProof/>
                <w:webHidden/>
              </w:rPr>
              <w:fldChar w:fldCharType="end"/>
            </w:r>
          </w:hyperlink>
        </w:p>
        <w:p w14:paraId="554259D2" w14:textId="6B714581" w:rsidR="0047062D" w:rsidRDefault="00205423">
          <w:pPr>
            <w:pStyle w:val="TOC2"/>
            <w:tabs>
              <w:tab w:val="left" w:pos="880"/>
              <w:tab w:val="right" w:leader="dot" w:pos="9062"/>
            </w:tabs>
            <w:rPr>
              <w:rFonts w:eastAsiaTheme="minorEastAsia"/>
              <w:noProof/>
              <w:lang w:val="en-IE" w:eastAsia="en-IE"/>
            </w:rPr>
          </w:pPr>
          <w:hyperlink w:anchor="_Toc59185370" w:history="1">
            <w:r w:rsidR="0047062D" w:rsidRPr="002F4B34">
              <w:rPr>
                <w:rStyle w:val="Hyperlink"/>
                <w:noProof/>
              </w:rPr>
              <w:t>1.4</w:t>
            </w:r>
            <w:r w:rsidR="0047062D">
              <w:rPr>
                <w:rFonts w:eastAsiaTheme="minorEastAsia"/>
                <w:noProof/>
                <w:lang w:val="en-IE" w:eastAsia="en-IE"/>
              </w:rPr>
              <w:tab/>
            </w:r>
            <w:r w:rsidR="0047062D" w:rsidRPr="002F4B34">
              <w:rPr>
                <w:rStyle w:val="Hyperlink"/>
                <w:noProof/>
              </w:rPr>
              <w:t>Are organic fertilisers in the meaning of the ABPR covered by the FPR?</w:t>
            </w:r>
            <w:r w:rsidR="0047062D">
              <w:rPr>
                <w:noProof/>
                <w:webHidden/>
              </w:rPr>
              <w:tab/>
            </w:r>
            <w:r w:rsidR="0047062D">
              <w:rPr>
                <w:noProof/>
                <w:webHidden/>
              </w:rPr>
              <w:fldChar w:fldCharType="begin"/>
            </w:r>
            <w:r w:rsidR="0047062D">
              <w:rPr>
                <w:noProof/>
                <w:webHidden/>
              </w:rPr>
              <w:instrText xml:space="preserve"> PAGEREF _Toc59185370 \h </w:instrText>
            </w:r>
            <w:r w:rsidR="0047062D">
              <w:rPr>
                <w:noProof/>
                <w:webHidden/>
              </w:rPr>
            </w:r>
            <w:r w:rsidR="0047062D">
              <w:rPr>
                <w:noProof/>
                <w:webHidden/>
              </w:rPr>
              <w:fldChar w:fldCharType="separate"/>
            </w:r>
            <w:r w:rsidR="0047062D">
              <w:rPr>
                <w:noProof/>
                <w:webHidden/>
              </w:rPr>
              <w:t>8</w:t>
            </w:r>
            <w:r w:rsidR="0047062D">
              <w:rPr>
                <w:noProof/>
                <w:webHidden/>
              </w:rPr>
              <w:fldChar w:fldCharType="end"/>
            </w:r>
          </w:hyperlink>
        </w:p>
        <w:p w14:paraId="6D7CC0C0" w14:textId="012F74E2" w:rsidR="0047062D" w:rsidRDefault="00205423">
          <w:pPr>
            <w:pStyle w:val="TOC2"/>
            <w:tabs>
              <w:tab w:val="left" w:pos="880"/>
              <w:tab w:val="right" w:leader="dot" w:pos="9062"/>
            </w:tabs>
            <w:rPr>
              <w:rFonts w:eastAsiaTheme="minorEastAsia"/>
              <w:noProof/>
              <w:lang w:val="en-IE" w:eastAsia="en-IE"/>
            </w:rPr>
          </w:pPr>
          <w:hyperlink w:anchor="_Toc59185371" w:history="1">
            <w:r w:rsidR="0047062D" w:rsidRPr="002F4B34">
              <w:rPr>
                <w:rStyle w:val="Hyperlink"/>
                <w:noProof/>
              </w:rPr>
              <w:t>1.5</w:t>
            </w:r>
            <w:r w:rsidR="0047062D">
              <w:rPr>
                <w:rFonts w:eastAsiaTheme="minorEastAsia"/>
                <w:noProof/>
                <w:lang w:val="en-IE" w:eastAsia="en-IE"/>
              </w:rPr>
              <w:tab/>
            </w:r>
            <w:r w:rsidR="0047062D" w:rsidRPr="002F4B34">
              <w:rPr>
                <w:rStyle w:val="Hyperlink"/>
                <w:noProof/>
              </w:rPr>
              <w:t>Is an organic fertiliser or an organic soil improver as set out in the FPR allowed to be used in organic farming production?</w:t>
            </w:r>
            <w:r w:rsidR="0047062D">
              <w:rPr>
                <w:noProof/>
                <w:webHidden/>
              </w:rPr>
              <w:tab/>
            </w:r>
            <w:r w:rsidR="0047062D">
              <w:rPr>
                <w:noProof/>
                <w:webHidden/>
              </w:rPr>
              <w:fldChar w:fldCharType="begin"/>
            </w:r>
            <w:r w:rsidR="0047062D">
              <w:rPr>
                <w:noProof/>
                <w:webHidden/>
              </w:rPr>
              <w:instrText xml:space="preserve"> PAGEREF _Toc59185371 \h </w:instrText>
            </w:r>
            <w:r w:rsidR="0047062D">
              <w:rPr>
                <w:noProof/>
                <w:webHidden/>
              </w:rPr>
            </w:r>
            <w:r w:rsidR="0047062D">
              <w:rPr>
                <w:noProof/>
                <w:webHidden/>
              </w:rPr>
              <w:fldChar w:fldCharType="separate"/>
            </w:r>
            <w:r w:rsidR="0047062D">
              <w:rPr>
                <w:noProof/>
                <w:webHidden/>
              </w:rPr>
              <w:t>8</w:t>
            </w:r>
            <w:r w:rsidR="0047062D">
              <w:rPr>
                <w:noProof/>
                <w:webHidden/>
              </w:rPr>
              <w:fldChar w:fldCharType="end"/>
            </w:r>
          </w:hyperlink>
        </w:p>
        <w:p w14:paraId="65FB826E" w14:textId="09F64EF3" w:rsidR="0047062D" w:rsidRDefault="00205423">
          <w:pPr>
            <w:pStyle w:val="TOC2"/>
            <w:tabs>
              <w:tab w:val="left" w:pos="880"/>
              <w:tab w:val="right" w:leader="dot" w:pos="9062"/>
            </w:tabs>
            <w:rPr>
              <w:rFonts w:eastAsiaTheme="minorEastAsia"/>
              <w:noProof/>
              <w:lang w:val="en-IE" w:eastAsia="en-IE"/>
            </w:rPr>
          </w:pPr>
          <w:hyperlink w:anchor="_Toc59185372" w:history="1">
            <w:r w:rsidR="0047062D" w:rsidRPr="002F4B34">
              <w:rPr>
                <w:rStyle w:val="Hyperlink"/>
                <w:noProof/>
              </w:rPr>
              <w:t>1.6</w:t>
            </w:r>
            <w:r w:rsidR="0047062D">
              <w:rPr>
                <w:rFonts w:eastAsiaTheme="minorEastAsia"/>
                <w:noProof/>
                <w:lang w:val="en-IE" w:eastAsia="en-IE"/>
              </w:rPr>
              <w:tab/>
            </w:r>
            <w:r w:rsidR="0047062D" w:rsidRPr="002F4B34">
              <w:rPr>
                <w:rStyle w:val="Hyperlink"/>
                <w:noProof/>
              </w:rPr>
              <w:t>Does the FPR cover fertilising products for seed treatment?</w:t>
            </w:r>
            <w:r w:rsidR="0047062D">
              <w:rPr>
                <w:noProof/>
                <w:webHidden/>
              </w:rPr>
              <w:tab/>
            </w:r>
            <w:r w:rsidR="0047062D">
              <w:rPr>
                <w:noProof/>
                <w:webHidden/>
              </w:rPr>
              <w:fldChar w:fldCharType="begin"/>
            </w:r>
            <w:r w:rsidR="0047062D">
              <w:rPr>
                <w:noProof/>
                <w:webHidden/>
              </w:rPr>
              <w:instrText xml:space="preserve"> PAGEREF _Toc59185372 \h </w:instrText>
            </w:r>
            <w:r w:rsidR="0047062D">
              <w:rPr>
                <w:noProof/>
                <w:webHidden/>
              </w:rPr>
            </w:r>
            <w:r w:rsidR="0047062D">
              <w:rPr>
                <w:noProof/>
                <w:webHidden/>
              </w:rPr>
              <w:fldChar w:fldCharType="separate"/>
            </w:r>
            <w:r w:rsidR="0047062D">
              <w:rPr>
                <w:noProof/>
                <w:webHidden/>
              </w:rPr>
              <w:t>8</w:t>
            </w:r>
            <w:r w:rsidR="0047062D">
              <w:rPr>
                <w:noProof/>
                <w:webHidden/>
              </w:rPr>
              <w:fldChar w:fldCharType="end"/>
            </w:r>
          </w:hyperlink>
        </w:p>
        <w:p w14:paraId="7CC79963" w14:textId="208B3D30" w:rsidR="0047062D" w:rsidRDefault="00205423">
          <w:pPr>
            <w:pStyle w:val="TOC2"/>
            <w:tabs>
              <w:tab w:val="left" w:pos="880"/>
              <w:tab w:val="right" w:leader="dot" w:pos="9062"/>
            </w:tabs>
            <w:rPr>
              <w:rFonts w:eastAsiaTheme="minorEastAsia"/>
              <w:noProof/>
              <w:lang w:val="en-IE" w:eastAsia="en-IE"/>
            </w:rPr>
          </w:pPr>
          <w:hyperlink w:anchor="_Toc59185373" w:history="1">
            <w:r w:rsidR="0047062D" w:rsidRPr="002F4B34">
              <w:rPr>
                <w:rStyle w:val="Hyperlink"/>
                <w:noProof/>
              </w:rPr>
              <w:t>1.7</w:t>
            </w:r>
            <w:r w:rsidR="0047062D">
              <w:rPr>
                <w:rFonts w:eastAsiaTheme="minorEastAsia"/>
                <w:noProof/>
                <w:lang w:val="en-IE" w:eastAsia="en-IE"/>
              </w:rPr>
              <w:tab/>
            </w:r>
            <w:r w:rsidR="0047062D" w:rsidRPr="002F4B34">
              <w:rPr>
                <w:rStyle w:val="Hyperlink"/>
                <w:noProof/>
              </w:rPr>
              <w:t>Does the FPR change the rules concerning the use of processed manure under the Nitrates Directive?</w:t>
            </w:r>
            <w:r w:rsidR="0047062D">
              <w:rPr>
                <w:noProof/>
                <w:webHidden/>
              </w:rPr>
              <w:tab/>
            </w:r>
            <w:r w:rsidR="0047062D">
              <w:rPr>
                <w:noProof/>
                <w:webHidden/>
              </w:rPr>
              <w:fldChar w:fldCharType="begin"/>
            </w:r>
            <w:r w:rsidR="0047062D">
              <w:rPr>
                <w:noProof/>
                <w:webHidden/>
              </w:rPr>
              <w:instrText xml:space="preserve"> PAGEREF _Toc59185373 \h </w:instrText>
            </w:r>
            <w:r w:rsidR="0047062D">
              <w:rPr>
                <w:noProof/>
                <w:webHidden/>
              </w:rPr>
            </w:r>
            <w:r w:rsidR="0047062D">
              <w:rPr>
                <w:noProof/>
                <w:webHidden/>
              </w:rPr>
              <w:fldChar w:fldCharType="separate"/>
            </w:r>
            <w:r w:rsidR="0047062D">
              <w:rPr>
                <w:noProof/>
                <w:webHidden/>
              </w:rPr>
              <w:t>9</w:t>
            </w:r>
            <w:r w:rsidR="0047062D">
              <w:rPr>
                <w:noProof/>
                <w:webHidden/>
              </w:rPr>
              <w:fldChar w:fldCharType="end"/>
            </w:r>
          </w:hyperlink>
        </w:p>
        <w:p w14:paraId="10546C98" w14:textId="04CD4E9F" w:rsidR="0047062D" w:rsidRDefault="00205423">
          <w:pPr>
            <w:pStyle w:val="TOC1"/>
            <w:tabs>
              <w:tab w:val="left" w:pos="440"/>
            </w:tabs>
            <w:rPr>
              <w:rFonts w:eastAsiaTheme="minorEastAsia"/>
              <w:noProof/>
              <w:lang w:val="en-IE" w:eastAsia="en-IE"/>
            </w:rPr>
          </w:pPr>
          <w:hyperlink w:anchor="_Toc59185374" w:history="1">
            <w:r w:rsidR="0047062D" w:rsidRPr="002F4B34">
              <w:rPr>
                <w:rStyle w:val="Hyperlink"/>
                <w:rFonts w:ascii="Times New Roman" w:hAnsi="Times New Roman" w:cs="Times New Roman"/>
                <w:noProof/>
              </w:rPr>
              <w:t>2.</w:t>
            </w:r>
            <w:r w:rsidR="0047062D">
              <w:rPr>
                <w:rFonts w:eastAsiaTheme="minorEastAsia"/>
                <w:noProof/>
                <w:lang w:val="en-IE" w:eastAsia="en-IE"/>
              </w:rPr>
              <w:tab/>
            </w:r>
            <w:r w:rsidR="0047062D" w:rsidRPr="002F4B34">
              <w:rPr>
                <w:rStyle w:val="Hyperlink"/>
                <w:rFonts w:ascii="Times New Roman" w:hAnsi="Times New Roman" w:cs="Times New Roman"/>
                <w:noProof/>
              </w:rPr>
              <w:t>Optional harmonisation</w:t>
            </w:r>
            <w:r w:rsidR="0047062D">
              <w:rPr>
                <w:noProof/>
                <w:webHidden/>
              </w:rPr>
              <w:tab/>
            </w:r>
            <w:r w:rsidR="0047062D">
              <w:rPr>
                <w:noProof/>
                <w:webHidden/>
              </w:rPr>
              <w:fldChar w:fldCharType="begin"/>
            </w:r>
            <w:r w:rsidR="0047062D">
              <w:rPr>
                <w:noProof/>
                <w:webHidden/>
              </w:rPr>
              <w:instrText xml:space="preserve"> PAGEREF _Toc59185374 \h </w:instrText>
            </w:r>
            <w:r w:rsidR="0047062D">
              <w:rPr>
                <w:noProof/>
                <w:webHidden/>
              </w:rPr>
            </w:r>
            <w:r w:rsidR="0047062D">
              <w:rPr>
                <w:noProof/>
                <w:webHidden/>
              </w:rPr>
              <w:fldChar w:fldCharType="separate"/>
            </w:r>
            <w:r w:rsidR="0047062D">
              <w:rPr>
                <w:noProof/>
                <w:webHidden/>
              </w:rPr>
              <w:t>9</w:t>
            </w:r>
            <w:r w:rsidR="0047062D">
              <w:rPr>
                <w:noProof/>
                <w:webHidden/>
              </w:rPr>
              <w:fldChar w:fldCharType="end"/>
            </w:r>
          </w:hyperlink>
        </w:p>
        <w:p w14:paraId="11D6BFFD" w14:textId="041134B8" w:rsidR="0047062D" w:rsidRDefault="00205423">
          <w:pPr>
            <w:pStyle w:val="TOC2"/>
            <w:tabs>
              <w:tab w:val="left" w:pos="880"/>
              <w:tab w:val="right" w:leader="dot" w:pos="9062"/>
            </w:tabs>
            <w:rPr>
              <w:rFonts w:eastAsiaTheme="minorEastAsia"/>
              <w:noProof/>
              <w:lang w:val="en-IE" w:eastAsia="en-IE"/>
            </w:rPr>
          </w:pPr>
          <w:hyperlink w:anchor="_Toc59185375" w:history="1">
            <w:r w:rsidR="0047062D" w:rsidRPr="002F4B34">
              <w:rPr>
                <w:rStyle w:val="Hyperlink"/>
                <w:noProof/>
              </w:rPr>
              <w:t>2.1</w:t>
            </w:r>
            <w:r w:rsidR="0047062D">
              <w:rPr>
                <w:rFonts w:eastAsiaTheme="minorEastAsia"/>
                <w:noProof/>
                <w:lang w:val="en-IE" w:eastAsia="en-IE"/>
              </w:rPr>
              <w:tab/>
            </w:r>
            <w:r w:rsidR="0047062D" w:rsidRPr="002F4B34">
              <w:rPr>
                <w:rStyle w:val="Hyperlink"/>
                <w:noProof/>
              </w:rPr>
              <w:t>Does the FPR replace the existing national legislations? Can fertilising products still be placed on the market based on national legislation alone?</w:t>
            </w:r>
            <w:r w:rsidR="0047062D">
              <w:rPr>
                <w:noProof/>
                <w:webHidden/>
              </w:rPr>
              <w:tab/>
            </w:r>
            <w:r w:rsidR="0047062D">
              <w:rPr>
                <w:noProof/>
                <w:webHidden/>
              </w:rPr>
              <w:fldChar w:fldCharType="begin"/>
            </w:r>
            <w:r w:rsidR="0047062D">
              <w:rPr>
                <w:noProof/>
                <w:webHidden/>
              </w:rPr>
              <w:instrText xml:space="preserve"> PAGEREF _Toc59185375 \h </w:instrText>
            </w:r>
            <w:r w:rsidR="0047062D">
              <w:rPr>
                <w:noProof/>
                <w:webHidden/>
              </w:rPr>
            </w:r>
            <w:r w:rsidR="0047062D">
              <w:rPr>
                <w:noProof/>
                <w:webHidden/>
              </w:rPr>
              <w:fldChar w:fldCharType="separate"/>
            </w:r>
            <w:r w:rsidR="0047062D">
              <w:rPr>
                <w:noProof/>
                <w:webHidden/>
              </w:rPr>
              <w:t>9</w:t>
            </w:r>
            <w:r w:rsidR="0047062D">
              <w:rPr>
                <w:noProof/>
                <w:webHidden/>
              </w:rPr>
              <w:fldChar w:fldCharType="end"/>
            </w:r>
          </w:hyperlink>
        </w:p>
        <w:p w14:paraId="76900C4C" w14:textId="5CDC3ADC" w:rsidR="0047062D" w:rsidRDefault="00205423">
          <w:pPr>
            <w:pStyle w:val="TOC2"/>
            <w:tabs>
              <w:tab w:val="left" w:pos="880"/>
              <w:tab w:val="right" w:leader="dot" w:pos="9062"/>
            </w:tabs>
            <w:rPr>
              <w:rFonts w:eastAsiaTheme="minorEastAsia"/>
              <w:noProof/>
              <w:lang w:val="en-IE" w:eastAsia="en-IE"/>
            </w:rPr>
          </w:pPr>
          <w:hyperlink w:anchor="_Toc59185376" w:history="1">
            <w:r w:rsidR="0047062D" w:rsidRPr="002F4B34">
              <w:rPr>
                <w:rStyle w:val="Hyperlink"/>
                <w:noProof/>
              </w:rPr>
              <w:t>2.2</w:t>
            </w:r>
            <w:r w:rsidR="0047062D">
              <w:rPr>
                <w:rFonts w:eastAsiaTheme="minorEastAsia"/>
                <w:noProof/>
                <w:lang w:val="en-IE" w:eastAsia="en-IE"/>
              </w:rPr>
              <w:tab/>
            </w:r>
            <w:r w:rsidR="0047062D" w:rsidRPr="002F4B34">
              <w:rPr>
                <w:rStyle w:val="Hyperlink"/>
                <w:noProof/>
              </w:rPr>
              <w:t>If the fertilising product meets the requirements of national legislation, can the manufacturer indicate reference to national legislation on the label of the CE marked fertilising product?</w:t>
            </w:r>
            <w:r w:rsidR="0047062D">
              <w:rPr>
                <w:noProof/>
                <w:webHidden/>
              </w:rPr>
              <w:tab/>
            </w:r>
            <w:r w:rsidR="0047062D">
              <w:rPr>
                <w:noProof/>
                <w:webHidden/>
              </w:rPr>
              <w:fldChar w:fldCharType="begin"/>
            </w:r>
            <w:r w:rsidR="0047062D">
              <w:rPr>
                <w:noProof/>
                <w:webHidden/>
              </w:rPr>
              <w:instrText xml:space="preserve"> PAGEREF _Toc59185376 \h </w:instrText>
            </w:r>
            <w:r w:rsidR="0047062D">
              <w:rPr>
                <w:noProof/>
                <w:webHidden/>
              </w:rPr>
            </w:r>
            <w:r w:rsidR="0047062D">
              <w:rPr>
                <w:noProof/>
                <w:webHidden/>
              </w:rPr>
              <w:fldChar w:fldCharType="separate"/>
            </w:r>
            <w:r w:rsidR="0047062D">
              <w:rPr>
                <w:noProof/>
                <w:webHidden/>
              </w:rPr>
              <w:t>9</w:t>
            </w:r>
            <w:r w:rsidR="0047062D">
              <w:rPr>
                <w:noProof/>
                <w:webHidden/>
              </w:rPr>
              <w:fldChar w:fldCharType="end"/>
            </w:r>
          </w:hyperlink>
        </w:p>
        <w:p w14:paraId="0F34B314" w14:textId="520161A2" w:rsidR="0047062D" w:rsidRDefault="00205423">
          <w:pPr>
            <w:pStyle w:val="TOC1"/>
            <w:tabs>
              <w:tab w:val="left" w:pos="440"/>
            </w:tabs>
            <w:rPr>
              <w:rFonts w:eastAsiaTheme="minorEastAsia"/>
              <w:noProof/>
              <w:lang w:val="en-IE" w:eastAsia="en-IE"/>
            </w:rPr>
          </w:pPr>
          <w:hyperlink w:anchor="_Toc59185377" w:history="1">
            <w:r w:rsidR="0047062D" w:rsidRPr="002F4B34">
              <w:rPr>
                <w:rStyle w:val="Hyperlink"/>
                <w:rFonts w:ascii="Times New Roman" w:hAnsi="Times New Roman" w:cs="Times New Roman"/>
                <w:noProof/>
              </w:rPr>
              <w:t>3.</w:t>
            </w:r>
            <w:r w:rsidR="0047062D">
              <w:rPr>
                <w:rFonts w:eastAsiaTheme="minorEastAsia"/>
                <w:noProof/>
                <w:lang w:val="en-IE" w:eastAsia="en-IE"/>
              </w:rPr>
              <w:tab/>
            </w:r>
            <w:r w:rsidR="0047062D" w:rsidRPr="002F4B34">
              <w:rPr>
                <w:rStyle w:val="Hyperlink"/>
                <w:rFonts w:ascii="Times New Roman" w:hAnsi="Times New Roman" w:cs="Times New Roman"/>
                <w:noProof/>
              </w:rPr>
              <w:t>Manufacturers</w:t>
            </w:r>
            <w:r w:rsidR="0047062D">
              <w:rPr>
                <w:noProof/>
                <w:webHidden/>
              </w:rPr>
              <w:tab/>
            </w:r>
            <w:r w:rsidR="0047062D">
              <w:rPr>
                <w:noProof/>
                <w:webHidden/>
              </w:rPr>
              <w:fldChar w:fldCharType="begin"/>
            </w:r>
            <w:r w:rsidR="0047062D">
              <w:rPr>
                <w:noProof/>
                <w:webHidden/>
              </w:rPr>
              <w:instrText xml:space="preserve"> PAGEREF _Toc59185377 \h </w:instrText>
            </w:r>
            <w:r w:rsidR="0047062D">
              <w:rPr>
                <w:noProof/>
                <w:webHidden/>
              </w:rPr>
            </w:r>
            <w:r w:rsidR="0047062D">
              <w:rPr>
                <w:noProof/>
                <w:webHidden/>
              </w:rPr>
              <w:fldChar w:fldCharType="separate"/>
            </w:r>
            <w:r w:rsidR="0047062D">
              <w:rPr>
                <w:noProof/>
                <w:webHidden/>
              </w:rPr>
              <w:t>10</w:t>
            </w:r>
            <w:r w:rsidR="0047062D">
              <w:rPr>
                <w:noProof/>
                <w:webHidden/>
              </w:rPr>
              <w:fldChar w:fldCharType="end"/>
            </w:r>
          </w:hyperlink>
        </w:p>
        <w:p w14:paraId="73C6B64B" w14:textId="377160AE" w:rsidR="0047062D" w:rsidRDefault="00205423">
          <w:pPr>
            <w:pStyle w:val="TOC2"/>
            <w:tabs>
              <w:tab w:val="left" w:pos="880"/>
              <w:tab w:val="right" w:leader="dot" w:pos="9062"/>
            </w:tabs>
            <w:rPr>
              <w:rFonts w:eastAsiaTheme="minorEastAsia"/>
              <w:noProof/>
              <w:lang w:val="en-IE" w:eastAsia="en-IE"/>
            </w:rPr>
          </w:pPr>
          <w:hyperlink w:anchor="_Toc59185378" w:history="1">
            <w:r w:rsidR="0047062D" w:rsidRPr="002F4B34">
              <w:rPr>
                <w:rStyle w:val="Hyperlink"/>
                <w:noProof/>
              </w:rPr>
              <w:t>3.1</w:t>
            </w:r>
            <w:r w:rsidR="0047062D">
              <w:rPr>
                <w:rFonts w:eastAsiaTheme="minorEastAsia"/>
                <w:noProof/>
                <w:lang w:val="en-IE" w:eastAsia="en-IE"/>
              </w:rPr>
              <w:tab/>
            </w:r>
            <w:r w:rsidR="0047062D" w:rsidRPr="002F4B34">
              <w:rPr>
                <w:rStyle w:val="Hyperlink"/>
                <w:noProof/>
              </w:rPr>
              <w:t>The obligation to keep the declaration of conformity and the technical documentation for 5 years after placing the product on the market</w:t>
            </w:r>
            <w:r w:rsidR="0047062D">
              <w:rPr>
                <w:noProof/>
                <w:webHidden/>
              </w:rPr>
              <w:tab/>
            </w:r>
            <w:r w:rsidR="0047062D">
              <w:rPr>
                <w:noProof/>
                <w:webHidden/>
              </w:rPr>
              <w:fldChar w:fldCharType="begin"/>
            </w:r>
            <w:r w:rsidR="0047062D">
              <w:rPr>
                <w:noProof/>
                <w:webHidden/>
              </w:rPr>
              <w:instrText xml:space="preserve"> PAGEREF _Toc59185378 \h </w:instrText>
            </w:r>
            <w:r w:rsidR="0047062D">
              <w:rPr>
                <w:noProof/>
                <w:webHidden/>
              </w:rPr>
            </w:r>
            <w:r w:rsidR="0047062D">
              <w:rPr>
                <w:noProof/>
                <w:webHidden/>
              </w:rPr>
              <w:fldChar w:fldCharType="separate"/>
            </w:r>
            <w:r w:rsidR="0047062D">
              <w:rPr>
                <w:noProof/>
                <w:webHidden/>
              </w:rPr>
              <w:t>10</w:t>
            </w:r>
            <w:r w:rsidR="0047062D">
              <w:rPr>
                <w:noProof/>
                <w:webHidden/>
              </w:rPr>
              <w:fldChar w:fldCharType="end"/>
            </w:r>
          </w:hyperlink>
        </w:p>
        <w:p w14:paraId="294C45A5" w14:textId="69165E00" w:rsidR="0047062D" w:rsidRDefault="00205423">
          <w:pPr>
            <w:pStyle w:val="TOC2"/>
            <w:tabs>
              <w:tab w:val="left" w:pos="1100"/>
              <w:tab w:val="right" w:leader="dot" w:pos="9062"/>
            </w:tabs>
            <w:rPr>
              <w:rFonts w:eastAsiaTheme="minorEastAsia"/>
              <w:noProof/>
              <w:lang w:val="en-IE" w:eastAsia="en-IE"/>
            </w:rPr>
          </w:pPr>
          <w:hyperlink w:anchor="_Toc59185379" w:history="1">
            <w:r w:rsidR="0047062D" w:rsidRPr="002F4B34">
              <w:rPr>
                <w:rStyle w:val="Hyperlink"/>
                <w:noProof/>
              </w:rPr>
              <w:t>3.1.1</w:t>
            </w:r>
            <w:r w:rsidR="0047062D">
              <w:rPr>
                <w:rFonts w:eastAsiaTheme="minorEastAsia"/>
                <w:noProof/>
                <w:lang w:val="en-IE" w:eastAsia="en-IE"/>
              </w:rPr>
              <w:tab/>
            </w:r>
            <w:r w:rsidR="0047062D" w:rsidRPr="002F4B34">
              <w:rPr>
                <w:rStyle w:val="Hyperlink"/>
                <w:noProof/>
              </w:rPr>
              <w:t>As of which date is this period of 5 years calculated for a production series of identical products?</w:t>
            </w:r>
            <w:r w:rsidR="0047062D">
              <w:rPr>
                <w:noProof/>
                <w:webHidden/>
              </w:rPr>
              <w:tab/>
            </w:r>
            <w:r w:rsidR="0047062D">
              <w:rPr>
                <w:noProof/>
                <w:webHidden/>
              </w:rPr>
              <w:fldChar w:fldCharType="begin"/>
            </w:r>
            <w:r w:rsidR="0047062D">
              <w:rPr>
                <w:noProof/>
                <w:webHidden/>
              </w:rPr>
              <w:instrText xml:space="preserve"> PAGEREF _Toc59185379 \h </w:instrText>
            </w:r>
            <w:r w:rsidR="0047062D">
              <w:rPr>
                <w:noProof/>
                <w:webHidden/>
              </w:rPr>
            </w:r>
            <w:r w:rsidR="0047062D">
              <w:rPr>
                <w:noProof/>
                <w:webHidden/>
              </w:rPr>
              <w:fldChar w:fldCharType="separate"/>
            </w:r>
            <w:r w:rsidR="0047062D">
              <w:rPr>
                <w:noProof/>
                <w:webHidden/>
              </w:rPr>
              <w:t>10</w:t>
            </w:r>
            <w:r w:rsidR="0047062D">
              <w:rPr>
                <w:noProof/>
                <w:webHidden/>
              </w:rPr>
              <w:fldChar w:fldCharType="end"/>
            </w:r>
          </w:hyperlink>
        </w:p>
        <w:p w14:paraId="6E18A215" w14:textId="37B7B3F1" w:rsidR="0047062D" w:rsidRDefault="00205423">
          <w:pPr>
            <w:pStyle w:val="TOC2"/>
            <w:tabs>
              <w:tab w:val="left" w:pos="1100"/>
              <w:tab w:val="right" w:leader="dot" w:pos="9062"/>
            </w:tabs>
            <w:rPr>
              <w:rFonts w:eastAsiaTheme="minorEastAsia"/>
              <w:noProof/>
              <w:lang w:val="en-IE" w:eastAsia="en-IE"/>
            </w:rPr>
          </w:pPr>
          <w:hyperlink w:anchor="_Toc59185380" w:history="1">
            <w:r w:rsidR="0047062D" w:rsidRPr="002F4B34">
              <w:rPr>
                <w:rStyle w:val="Hyperlink"/>
                <w:noProof/>
              </w:rPr>
              <w:t>3.1.2</w:t>
            </w:r>
            <w:r w:rsidR="0047062D">
              <w:rPr>
                <w:rFonts w:eastAsiaTheme="minorEastAsia"/>
                <w:noProof/>
                <w:lang w:val="en-IE" w:eastAsia="en-IE"/>
              </w:rPr>
              <w:tab/>
            </w:r>
            <w:r w:rsidR="0047062D" w:rsidRPr="002F4B34">
              <w:rPr>
                <w:rStyle w:val="Hyperlink"/>
                <w:noProof/>
              </w:rPr>
              <w:t>How can manufacturers prove that a product was placed on the market more than 5 years ago?</w:t>
            </w:r>
            <w:r w:rsidR="0047062D">
              <w:rPr>
                <w:noProof/>
                <w:webHidden/>
              </w:rPr>
              <w:tab/>
            </w:r>
            <w:r w:rsidR="0047062D">
              <w:rPr>
                <w:noProof/>
                <w:webHidden/>
              </w:rPr>
              <w:fldChar w:fldCharType="begin"/>
            </w:r>
            <w:r w:rsidR="0047062D">
              <w:rPr>
                <w:noProof/>
                <w:webHidden/>
              </w:rPr>
              <w:instrText xml:space="preserve"> PAGEREF _Toc59185380 \h </w:instrText>
            </w:r>
            <w:r w:rsidR="0047062D">
              <w:rPr>
                <w:noProof/>
                <w:webHidden/>
              </w:rPr>
            </w:r>
            <w:r w:rsidR="0047062D">
              <w:rPr>
                <w:noProof/>
                <w:webHidden/>
              </w:rPr>
              <w:fldChar w:fldCharType="separate"/>
            </w:r>
            <w:r w:rsidR="0047062D">
              <w:rPr>
                <w:noProof/>
                <w:webHidden/>
              </w:rPr>
              <w:t>10</w:t>
            </w:r>
            <w:r w:rsidR="0047062D">
              <w:rPr>
                <w:noProof/>
                <w:webHidden/>
              </w:rPr>
              <w:fldChar w:fldCharType="end"/>
            </w:r>
          </w:hyperlink>
        </w:p>
        <w:p w14:paraId="420EE2FC" w14:textId="57772787" w:rsidR="0047062D" w:rsidRDefault="00205423">
          <w:pPr>
            <w:pStyle w:val="TOC2"/>
            <w:tabs>
              <w:tab w:val="left" w:pos="880"/>
              <w:tab w:val="right" w:leader="dot" w:pos="9062"/>
            </w:tabs>
            <w:rPr>
              <w:rFonts w:eastAsiaTheme="minorEastAsia"/>
              <w:noProof/>
              <w:lang w:val="en-IE" w:eastAsia="en-IE"/>
            </w:rPr>
          </w:pPr>
          <w:hyperlink w:anchor="_Toc59185381" w:history="1">
            <w:r w:rsidR="0047062D" w:rsidRPr="002F4B34">
              <w:rPr>
                <w:rStyle w:val="Hyperlink"/>
                <w:noProof/>
              </w:rPr>
              <w:t>3.2</w:t>
            </w:r>
            <w:r w:rsidR="0047062D">
              <w:rPr>
                <w:rFonts w:eastAsiaTheme="minorEastAsia"/>
                <w:noProof/>
                <w:lang w:val="en-IE" w:eastAsia="en-IE"/>
              </w:rPr>
              <w:tab/>
            </w:r>
            <w:r w:rsidR="0047062D" w:rsidRPr="002F4B34">
              <w:rPr>
                <w:rStyle w:val="Hyperlink"/>
                <w:noProof/>
              </w:rPr>
              <w:t>A company repackages fertilising products already marketed by the original manufacturer, and gives them its own name and logo and then sells on the market. Is this company always considered a manufacturer for the purpose of the FPR? If so, how can it obtain information about the design and production process to carry out the relevant conformity assessment procedure?</w:t>
            </w:r>
            <w:r w:rsidR="0047062D">
              <w:rPr>
                <w:noProof/>
                <w:webHidden/>
              </w:rPr>
              <w:tab/>
            </w:r>
            <w:r w:rsidR="0047062D">
              <w:rPr>
                <w:noProof/>
                <w:webHidden/>
              </w:rPr>
              <w:fldChar w:fldCharType="begin"/>
            </w:r>
            <w:r w:rsidR="0047062D">
              <w:rPr>
                <w:noProof/>
                <w:webHidden/>
              </w:rPr>
              <w:instrText xml:space="preserve"> PAGEREF _Toc59185381 \h </w:instrText>
            </w:r>
            <w:r w:rsidR="0047062D">
              <w:rPr>
                <w:noProof/>
                <w:webHidden/>
              </w:rPr>
            </w:r>
            <w:r w:rsidR="0047062D">
              <w:rPr>
                <w:noProof/>
                <w:webHidden/>
              </w:rPr>
              <w:fldChar w:fldCharType="separate"/>
            </w:r>
            <w:r w:rsidR="0047062D">
              <w:rPr>
                <w:noProof/>
                <w:webHidden/>
              </w:rPr>
              <w:t>10</w:t>
            </w:r>
            <w:r w:rsidR="0047062D">
              <w:rPr>
                <w:noProof/>
                <w:webHidden/>
              </w:rPr>
              <w:fldChar w:fldCharType="end"/>
            </w:r>
          </w:hyperlink>
        </w:p>
        <w:p w14:paraId="5026B1FE" w14:textId="266DB636" w:rsidR="0047062D" w:rsidRDefault="00205423">
          <w:pPr>
            <w:pStyle w:val="TOC2"/>
            <w:tabs>
              <w:tab w:val="left" w:pos="880"/>
              <w:tab w:val="right" w:leader="dot" w:pos="9062"/>
            </w:tabs>
            <w:rPr>
              <w:rFonts w:eastAsiaTheme="minorEastAsia"/>
              <w:noProof/>
              <w:lang w:val="en-IE" w:eastAsia="en-IE"/>
            </w:rPr>
          </w:pPr>
          <w:hyperlink w:anchor="_Toc59185382" w:history="1">
            <w:r w:rsidR="0047062D" w:rsidRPr="002F4B34">
              <w:rPr>
                <w:rStyle w:val="Hyperlink"/>
                <w:noProof/>
              </w:rPr>
              <w:t>3.3</w:t>
            </w:r>
            <w:r w:rsidR="0047062D">
              <w:rPr>
                <w:rFonts w:eastAsiaTheme="minorEastAsia"/>
                <w:noProof/>
                <w:lang w:val="en-IE" w:eastAsia="en-IE"/>
              </w:rPr>
              <w:tab/>
            </w:r>
            <w:r w:rsidR="0047062D" w:rsidRPr="002F4B34">
              <w:rPr>
                <w:rStyle w:val="Hyperlink"/>
                <w:noProof/>
              </w:rPr>
              <w:t>What traceability elements do manufacturers have to include on the packaging?</w:t>
            </w:r>
            <w:r w:rsidR="0047062D">
              <w:rPr>
                <w:noProof/>
                <w:webHidden/>
              </w:rPr>
              <w:tab/>
            </w:r>
            <w:r w:rsidR="0047062D">
              <w:rPr>
                <w:noProof/>
                <w:webHidden/>
              </w:rPr>
              <w:fldChar w:fldCharType="begin"/>
            </w:r>
            <w:r w:rsidR="0047062D">
              <w:rPr>
                <w:noProof/>
                <w:webHidden/>
              </w:rPr>
              <w:instrText xml:space="preserve"> PAGEREF _Toc59185382 \h </w:instrText>
            </w:r>
            <w:r w:rsidR="0047062D">
              <w:rPr>
                <w:noProof/>
                <w:webHidden/>
              </w:rPr>
            </w:r>
            <w:r w:rsidR="0047062D">
              <w:rPr>
                <w:noProof/>
                <w:webHidden/>
              </w:rPr>
              <w:fldChar w:fldCharType="separate"/>
            </w:r>
            <w:r w:rsidR="0047062D">
              <w:rPr>
                <w:noProof/>
                <w:webHidden/>
              </w:rPr>
              <w:t>11</w:t>
            </w:r>
            <w:r w:rsidR="0047062D">
              <w:rPr>
                <w:noProof/>
                <w:webHidden/>
              </w:rPr>
              <w:fldChar w:fldCharType="end"/>
            </w:r>
          </w:hyperlink>
        </w:p>
        <w:p w14:paraId="77872BF2" w14:textId="4656F2CD" w:rsidR="0047062D" w:rsidRDefault="00205423">
          <w:pPr>
            <w:pStyle w:val="TOC1"/>
            <w:tabs>
              <w:tab w:val="left" w:pos="440"/>
            </w:tabs>
            <w:rPr>
              <w:rFonts w:eastAsiaTheme="minorEastAsia"/>
              <w:noProof/>
              <w:lang w:val="en-IE" w:eastAsia="en-IE"/>
            </w:rPr>
          </w:pPr>
          <w:hyperlink w:anchor="_Toc59185383" w:history="1">
            <w:r w:rsidR="0047062D" w:rsidRPr="002F4B34">
              <w:rPr>
                <w:rStyle w:val="Hyperlink"/>
                <w:rFonts w:ascii="Times New Roman" w:hAnsi="Times New Roman" w:cs="Times New Roman"/>
                <w:noProof/>
              </w:rPr>
              <w:t>4.</w:t>
            </w:r>
            <w:r w:rsidR="0047062D">
              <w:rPr>
                <w:rFonts w:eastAsiaTheme="minorEastAsia"/>
                <w:noProof/>
                <w:lang w:val="en-IE" w:eastAsia="en-IE"/>
              </w:rPr>
              <w:tab/>
            </w:r>
            <w:r w:rsidR="0047062D" w:rsidRPr="002F4B34">
              <w:rPr>
                <w:rStyle w:val="Hyperlink"/>
                <w:rFonts w:ascii="Times New Roman" w:hAnsi="Times New Roman" w:cs="Times New Roman"/>
                <w:noProof/>
              </w:rPr>
              <w:t>Distributors</w:t>
            </w:r>
            <w:r w:rsidR="0047062D">
              <w:rPr>
                <w:noProof/>
                <w:webHidden/>
              </w:rPr>
              <w:tab/>
            </w:r>
            <w:r w:rsidR="0047062D">
              <w:rPr>
                <w:noProof/>
                <w:webHidden/>
              </w:rPr>
              <w:fldChar w:fldCharType="begin"/>
            </w:r>
            <w:r w:rsidR="0047062D">
              <w:rPr>
                <w:noProof/>
                <w:webHidden/>
              </w:rPr>
              <w:instrText xml:space="preserve"> PAGEREF _Toc59185383 \h </w:instrText>
            </w:r>
            <w:r w:rsidR="0047062D">
              <w:rPr>
                <w:noProof/>
                <w:webHidden/>
              </w:rPr>
            </w:r>
            <w:r w:rsidR="0047062D">
              <w:rPr>
                <w:noProof/>
                <w:webHidden/>
              </w:rPr>
              <w:fldChar w:fldCharType="separate"/>
            </w:r>
            <w:r w:rsidR="0047062D">
              <w:rPr>
                <w:noProof/>
                <w:webHidden/>
              </w:rPr>
              <w:t>11</w:t>
            </w:r>
            <w:r w:rsidR="0047062D">
              <w:rPr>
                <w:noProof/>
                <w:webHidden/>
              </w:rPr>
              <w:fldChar w:fldCharType="end"/>
            </w:r>
          </w:hyperlink>
        </w:p>
        <w:p w14:paraId="17ADD87B" w14:textId="5F4D9E0A" w:rsidR="0047062D" w:rsidRDefault="00205423">
          <w:pPr>
            <w:pStyle w:val="TOC2"/>
            <w:tabs>
              <w:tab w:val="left" w:pos="880"/>
              <w:tab w:val="right" w:leader="dot" w:pos="9062"/>
            </w:tabs>
            <w:rPr>
              <w:rFonts w:eastAsiaTheme="minorEastAsia"/>
              <w:noProof/>
              <w:lang w:val="en-IE" w:eastAsia="en-IE"/>
            </w:rPr>
          </w:pPr>
          <w:hyperlink w:anchor="_Toc59185384" w:history="1">
            <w:r w:rsidR="0047062D" w:rsidRPr="002F4B34">
              <w:rPr>
                <w:rStyle w:val="Hyperlink"/>
                <w:noProof/>
              </w:rPr>
              <w:t>4.1</w:t>
            </w:r>
            <w:r w:rsidR="0047062D">
              <w:rPr>
                <w:rFonts w:eastAsiaTheme="minorEastAsia"/>
                <w:noProof/>
                <w:lang w:val="en-IE" w:eastAsia="en-IE"/>
              </w:rPr>
              <w:tab/>
            </w:r>
            <w:r w:rsidR="0047062D" w:rsidRPr="002F4B34">
              <w:rPr>
                <w:rStyle w:val="Hyperlink"/>
                <w:noProof/>
              </w:rPr>
              <w:t>Does the FPR change the obligations of distributors comparing to the current rules?</w:t>
            </w:r>
            <w:r w:rsidR="0047062D">
              <w:rPr>
                <w:noProof/>
                <w:webHidden/>
              </w:rPr>
              <w:tab/>
            </w:r>
            <w:r w:rsidR="0047062D">
              <w:rPr>
                <w:noProof/>
                <w:webHidden/>
              </w:rPr>
              <w:fldChar w:fldCharType="begin"/>
            </w:r>
            <w:r w:rsidR="0047062D">
              <w:rPr>
                <w:noProof/>
                <w:webHidden/>
              </w:rPr>
              <w:instrText xml:space="preserve"> PAGEREF _Toc59185384 \h </w:instrText>
            </w:r>
            <w:r w:rsidR="0047062D">
              <w:rPr>
                <w:noProof/>
                <w:webHidden/>
              </w:rPr>
            </w:r>
            <w:r w:rsidR="0047062D">
              <w:rPr>
                <w:noProof/>
                <w:webHidden/>
              </w:rPr>
              <w:fldChar w:fldCharType="separate"/>
            </w:r>
            <w:r w:rsidR="0047062D">
              <w:rPr>
                <w:noProof/>
                <w:webHidden/>
              </w:rPr>
              <w:t>11</w:t>
            </w:r>
            <w:r w:rsidR="0047062D">
              <w:rPr>
                <w:noProof/>
                <w:webHidden/>
              </w:rPr>
              <w:fldChar w:fldCharType="end"/>
            </w:r>
          </w:hyperlink>
        </w:p>
        <w:p w14:paraId="03569A03" w14:textId="0275B1F0" w:rsidR="0047062D" w:rsidRDefault="00205423">
          <w:pPr>
            <w:pStyle w:val="TOC1"/>
            <w:tabs>
              <w:tab w:val="left" w:pos="440"/>
            </w:tabs>
            <w:rPr>
              <w:rFonts w:eastAsiaTheme="minorEastAsia"/>
              <w:noProof/>
              <w:lang w:val="en-IE" w:eastAsia="en-IE"/>
            </w:rPr>
          </w:pPr>
          <w:hyperlink w:anchor="_Toc59185385" w:history="1">
            <w:r w:rsidR="0047062D" w:rsidRPr="002F4B34">
              <w:rPr>
                <w:rStyle w:val="Hyperlink"/>
                <w:rFonts w:ascii="Times New Roman" w:hAnsi="Times New Roman" w:cs="Times New Roman"/>
                <w:noProof/>
              </w:rPr>
              <w:t>5.</w:t>
            </w:r>
            <w:r w:rsidR="0047062D">
              <w:rPr>
                <w:rFonts w:eastAsiaTheme="minorEastAsia"/>
                <w:noProof/>
                <w:lang w:val="en-IE" w:eastAsia="en-IE"/>
              </w:rPr>
              <w:tab/>
            </w:r>
            <w:r w:rsidR="0047062D" w:rsidRPr="002F4B34">
              <w:rPr>
                <w:rStyle w:val="Hyperlink"/>
                <w:rFonts w:ascii="Times New Roman" w:hAnsi="Times New Roman" w:cs="Times New Roman"/>
                <w:noProof/>
              </w:rPr>
              <w:t>Notified Bodies</w:t>
            </w:r>
            <w:r w:rsidR="0047062D">
              <w:rPr>
                <w:noProof/>
                <w:webHidden/>
              </w:rPr>
              <w:tab/>
            </w:r>
            <w:r w:rsidR="0047062D">
              <w:rPr>
                <w:noProof/>
                <w:webHidden/>
              </w:rPr>
              <w:fldChar w:fldCharType="begin"/>
            </w:r>
            <w:r w:rsidR="0047062D">
              <w:rPr>
                <w:noProof/>
                <w:webHidden/>
              </w:rPr>
              <w:instrText xml:space="preserve"> PAGEREF _Toc59185385 \h </w:instrText>
            </w:r>
            <w:r w:rsidR="0047062D">
              <w:rPr>
                <w:noProof/>
                <w:webHidden/>
              </w:rPr>
            </w:r>
            <w:r w:rsidR="0047062D">
              <w:rPr>
                <w:noProof/>
                <w:webHidden/>
              </w:rPr>
              <w:fldChar w:fldCharType="separate"/>
            </w:r>
            <w:r w:rsidR="0047062D">
              <w:rPr>
                <w:noProof/>
                <w:webHidden/>
              </w:rPr>
              <w:t>11</w:t>
            </w:r>
            <w:r w:rsidR="0047062D">
              <w:rPr>
                <w:noProof/>
                <w:webHidden/>
              </w:rPr>
              <w:fldChar w:fldCharType="end"/>
            </w:r>
          </w:hyperlink>
        </w:p>
        <w:p w14:paraId="2C5F28D4" w14:textId="40365DC1" w:rsidR="0047062D" w:rsidRDefault="00205423">
          <w:pPr>
            <w:pStyle w:val="TOC2"/>
            <w:tabs>
              <w:tab w:val="left" w:pos="880"/>
              <w:tab w:val="right" w:leader="dot" w:pos="9062"/>
            </w:tabs>
            <w:rPr>
              <w:rFonts w:eastAsiaTheme="minorEastAsia"/>
              <w:noProof/>
              <w:lang w:val="en-IE" w:eastAsia="en-IE"/>
            </w:rPr>
          </w:pPr>
          <w:hyperlink w:anchor="_Toc59185386" w:history="1">
            <w:r w:rsidR="0047062D" w:rsidRPr="002F4B34">
              <w:rPr>
                <w:rStyle w:val="Hyperlink"/>
                <w:noProof/>
              </w:rPr>
              <w:t>5.1</w:t>
            </w:r>
            <w:r w:rsidR="0047062D">
              <w:rPr>
                <w:rFonts w:eastAsiaTheme="minorEastAsia"/>
                <w:noProof/>
                <w:lang w:val="en-IE" w:eastAsia="en-IE"/>
              </w:rPr>
              <w:tab/>
            </w:r>
            <w:r w:rsidR="0047062D" w:rsidRPr="002F4B34">
              <w:rPr>
                <w:rStyle w:val="Hyperlink"/>
                <w:noProof/>
              </w:rPr>
              <w:t>What is a notified body?</w:t>
            </w:r>
            <w:r w:rsidR="0047062D">
              <w:rPr>
                <w:noProof/>
                <w:webHidden/>
              </w:rPr>
              <w:tab/>
            </w:r>
            <w:r w:rsidR="0047062D">
              <w:rPr>
                <w:noProof/>
                <w:webHidden/>
              </w:rPr>
              <w:fldChar w:fldCharType="begin"/>
            </w:r>
            <w:r w:rsidR="0047062D">
              <w:rPr>
                <w:noProof/>
                <w:webHidden/>
              </w:rPr>
              <w:instrText xml:space="preserve"> PAGEREF _Toc59185386 \h </w:instrText>
            </w:r>
            <w:r w:rsidR="0047062D">
              <w:rPr>
                <w:noProof/>
                <w:webHidden/>
              </w:rPr>
            </w:r>
            <w:r w:rsidR="0047062D">
              <w:rPr>
                <w:noProof/>
                <w:webHidden/>
              </w:rPr>
              <w:fldChar w:fldCharType="separate"/>
            </w:r>
            <w:r w:rsidR="0047062D">
              <w:rPr>
                <w:noProof/>
                <w:webHidden/>
              </w:rPr>
              <w:t>11</w:t>
            </w:r>
            <w:r w:rsidR="0047062D">
              <w:rPr>
                <w:noProof/>
                <w:webHidden/>
              </w:rPr>
              <w:fldChar w:fldCharType="end"/>
            </w:r>
          </w:hyperlink>
        </w:p>
        <w:p w14:paraId="59AE0848" w14:textId="51FF0EDB" w:rsidR="0047062D" w:rsidRDefault="00205423">
          <w:pPr>
            <w:pStyle w:val="TOC2"/>
            <w:tabs>
              <w:tab w:val="left" w:pos="880"/>
              <w:tab w:val="right" w:leader="dot" w:pos="9062"/>
            </w:tabs>
            <w:rPr>
              <w:rFonts w:eastAsiaTheme="minorEastAsia"/>
              <w:noProof/>
              <w:lang w:val="en-IE" w:eastAsia="en-IE"/>
            </w:rPr>
          </w:pPr>
          <w:hyperlink w:anchor="_Toc59185387" w:history="1">
            <w:r w:rsidR="0047062D" w:rsidRPr="002F4B34">
              <w:rPr>
                <w:rStyle w:val="Hyperlink"/>
                <w:noProof/>
              </w:rPr>
              <w:t>5.2</w:t>
            </w:r>
            <w:r w:rsidR="0047062D">
              <w:rPr>
                <w:rFonts w:eastAsiaTheme="minorEastAsia"/>
                <w:noProof/>
                <w:lang w:val="en-IE" w:eastAsia="en-IE"/>
              </w:rPr>
              <w:tab/>
            </w:r>
            <w:r w:rsidR="0047062D" w:rsidRPr="002F4B34">
              <w:rPr>
                <w:rStyle w:val="Hyperlink"/>
                <w:noProof/>
              </w:rPr>
              <w:t>What conditions does a conformity assessment body have to fulfil in order to become a notified body under the FPR? Can a private entity be a notified body?</w:t>
            </w:r>
            <w:r w:rsidR="0047062D">
              <w:rPr>
                <w:noProof/>
                <w:webHidden/>
              </w:rPr>
              <w:tab/>
            </w:r>
            <w:r w:rsidR="0047062D">
              <w:rPr>
                <w:noProof/>
                <w:webHidden/>
              </w:rPr>
              <w:fldChar w:fldCharType="begin"/>
            </w:r>
            <w:r w:rsidR="0047062D">
              <w:rPr>
                <w:noProof/>
                <w:webHidden/>
              </w:rPr>
              <w:instrText xml:space="preserve"> PAGEREF _Toc59185387 \h </w:instrText>
            </w:r>
            <w:r w:rsidR="0047062D">
              <w:rPr>
                <w:noProof/>
                <w:webHidden/>
              </w:rPr>
            </w:r>
            <w:r w:rsidR="0047062D">
              <w:rPr>
                <w:noProof/>
                <w:webHidden/>
              </w:rPr>
              <w:fldChar w:fldCharType="separate"/>
            </w:r>
            <w:r w:rsidR="0047062D">
              <w:rPr>
                <w:noProof/>
                <w:webHidden/>
              </w:rPr>
              <w:t>12</w:t>
            </w:r>
            <w:r w:rsidR="0047062D">
              <w:rPr>
                <w:noProof/>
                <w:webHidden/>
              </w:rPr>
              <w:fldChar w:fldCharType="end"/>
            </w:r>
          </w:hyperlink>
        </w:p>
        <w:p w14:paraId="0480A600" w14:textId="68E87B07" w:rsidR="0047062D" w:rsidRDefault="00205423">
          <w:pPr>
            <w:pStyle w:val="TOC2"/>
            <w:tabs>
              <w:tab w:val="left" w:pos="880"/>
              <w:tab w:val="right" w:leader="dot" w:pos="9062"/>
            </w:tabs>
            <w:rPr>
              <w:rFonts w:eastAsiaTheme="minorEastAsia"/>
              <w:noProof/>
              <w:lang w:val="en-IE" w:eastAsia="en-IE"/>
            </w:rPr>
          </w:pPr>
          <w:hyperlink w:anchor="_Toc59185388" w:history="1">
            <w:r w:rsidR="0047062D" w:rsidRPr="002F4B34">
              <w:rPr>
                <w:rStyle w:val="Hyperlink"/>
                <w:noProof/>
              </w:rPr>
              <w:t>5.3</w:t>
            </w:r>
            <w:r w:rsidR="0047062D">
              <w:rPr>
                <w:rFonts w:eastAsiaTheme="minorEastAsia"/>
                <w:noProof/>
                <w:lang w:val="en-IE" w:eastAsia="en-IE"/>
              </w:rPr>
              <w:tab/>
            </w:r>
            <w:r w:rsidR="0047062D" w:rsidRPr="002F4B34">
              <w:rPr>
                <w:rStyle w:val="Hyperlink"/>
                <w:noProof/>
              </w:rPr>
              <w:t>What procedure does a conformity assessment body have to follow to ask the notification under the FPR?</w:t>
            </w:r>
            <w:r w:rsidR="0047062D">
              <w:rPr>
                <w:noProof/>
                <w:webHidden/>
              </w:rPr>
              <w:tab/>
            </w:r>
            <w:r w:rsidR="0047062D">
              <w:rPr>
                <w:noProof/>
                <w:webHidden/>
              </w:rPr>
              <w:fldChar w:fldCharType="begin"/>
            </w:r>
            <w:r w:rsidR="0047062D">
              <w:rPr>
                <w:noProof/>
                <w:webHidden/>
              </w:rPr>
              <w:instrText xml:space="preserve"> PAGEREF _Toc59185388 \h </w:instrText>
            </w:r>
            <w:r w:rsidR="0047062D">
              <w:rPr>
                <w:noProof/>
                <w:webHidden/>
              </w:rPr>
            </w:r>
            <w:r w:rsidR="0047062D">
              <w:rPr>
                <w:noProof/>
                <w:webHidden/>
              </w:rPr>
              <w:fldChar w:fldCharType="separate"/>
            </w:r>
            <w:r w:rsidR="0047062D">
              <w:rPr>
                <w:noProof/>
                <w:webHidden/>
              </w:rPr>
              <w:t>12</w:t>
            </w:r>
            <w:r w:rsidR="0047062D">
              <w:rPr>
                <w:noProof/>
                <w:webHidden/>
              </w:rPr>
              <w:fldChar w:fldCharType="end"/>
            </w:r>
          </w:hyperlink>
        </w:p>
        <w:p w14:paraId="566CFA6E" w14:textId="3D17918C" w:rsidR="0047062D" w:rsidRDefault="00205423">
          <w:pPr>
            <w:pStyle w:val="TOC2"/>
            <w:tabs>
              <w:tab w:val="left" w:pos="880"/>
              <w:tab w:val="right" w:leader="dot" w:pos="9062"/>
            </w:tabs>
            <w:rPr>
              <w:rFonts w:eastAsiaTheme="minorEastAsia"/>
              <w:noProof/>
              <w:lang w:val="en-IE" w:eastAsia="en-IE"/>
            </w:rPr>
          </w:pPr>
          <w:hyperlink w:anchor="_Toc59185389" w:history="1">
            <w:r w:rsidR="0047062D" w:rsidRPr="002F4B34">
              <w:rPr>
                <w:rStyle w:val="Hyperlink"/>
                <w:noProof/>
              </w:rPr>
              <w:t>5.4</w:t>
            </w:r>
            <w:r w:rsidR="0047062D">
              <w:rPr>
                <w:rFonts w:eastAsiaTheme="minorEastAsia"/>
                <w:noProof/>
                <w:lang w:val="en-IE" w:eastAsia="en-IE"/>
              </w:rPr>
              <w:tab/>
            </w:r>
            <w:r w:rsidR="0047062D" w:rsidRPr="002F4B34">
              <w:rPr>
                <w:rStyle w:val="Hyperlink"/>
                <w:noProof/>
              </w:rPr>
              <w:t>Does a conformity assessment body have to be able to perform conformity assessment for all types of EU fertilising products in order to become a notified body?</w:t>
            </w:r>
            <w:r w:rsidR="0047062D">
              <w:rPr>
                <w:noProof/>
                <w:webHidden/>
              </w:rPr>
              <w:tab/>
            </w:r>
            <w:r w:rsidR="0047062D">
              <w:rPr>
                <w:noProof/>
                <w:webHidden/>
              </w:rPr>
              <w:fldChar w:fldCharType="begin"/>
            </w:r>
            <w:r w:rsidR="0047062D">
              <w:rPr>
                <w:noProof/>
                <w:webHidden/>
              </w:rPr>
              <w:instrText xml:space="preserve"> PAGEREF _Toc59185389 \h </w:instrText>
            </w:r>
            <w:r w:rsidR="0047062D">
              <w:rPr>
                <w:noProof/>
                <w:webHidden/>
              </w:rPr>
            </w:r>
            <w:r w:rsidR="0047062D">
              <w:rPr>
                <w:noProof/>
                <w:webHidden/>
              </w:rPr>
              <w:fldChar w:fldCharType="separate"/>
            </w:r>
            <w:r w:rsidR="0047062D">
              <w:rPr>
                <w:noProof/>
                <w:webHidden/>
              </w:rPr>
              <w:t>12</w:t>
            </w:r>
            <w:r w:rsidR="0047062D">
              <w:rPr>
                <w:noProof/>
                <w:webHidden/>
              </w:rPr>
              <w:fldChar w:fldCharType="end"/>
            </w:r>
          </w:hyperlink>
        </w:p>
        <w:p w14:paraId="2DD04326" w14:textId="59ED8BD6" w:rsidR="0047062D" w:rsidRDefault="00205423">
          <w:pPr>
            <w:pStyle w:val="TOC2"/>
            <w:tabs>
              <w:tab w:val="left" w:pos="880"/>
              <w:tab w:val="right" w:leader="dot" w:pos="9062"/>
            </w:tabs>
            <w:rPr>
              <w:rFonts w:eastAsiaTheme="minorEastAsia"/>
              <w:noProof/>
              <w:lang w:val="en-IE" w:eastAsia="en-IE"/>
            </w:rPr>
          </w:pPr>
          <w:hyperlink w:anchor="_Toc59185390" w:history="1">
            <w:r w:rsidR="0047062D" w:rsidRPr="002F4B34">
              <w:rPr>
                <w:rStyle w:val="Hyperlink"/>
                <w:noProof/>
              </w:rPr>
              <w:t>5.5</w:t>
            </w:r>
            <w:r w:rsidR="0047062D">
              <w:rPr>
                <w:rFonts w:eastAsiaTheme="minorEastAsia"/>
                <w:noProof/>
                <w:lang w:val="en-IE" w:eastAsia="en-IE"/>
              </w:rPr>
              <w:tab/>
            </w:r>
            <w:r w:rsidR="0047062D" w:rsidRPr="002F4B34">
              <w:rPr>
                <w:rStyle w:val="Hyperlink"/>
                <w:noProof/>
              </w:rPr>
              <w:t>How is the Commission planning to ensure the coordination and cooperation between notified bodied for the purposes of the FPR?</w:t>
            </w:r>
            <w:r w:rsidR="0047062D">
              <w:rPr>
                <w:noProof/>
                <w:webHidden/>
              </w:rPr>
              <w:tab/>
            </w:r>
            <w:r w:rsidR="0047062D">
              <w:rPr>
                <w:noProof/>
                <w:webHidden/>
              </w:rPr>
              <w:fldChar w:fldCharType="begin"/>
            </w:r>
            <w:r w:rsidR="0047062D">
              <w:rPr>
                <w:noProof/>
                <w:webHidden/>
              </w:rPr>
              <w:instrText xml:space="preserve"> PAGEREF _Toc59185390 \h </w:instrText>
            </w:r>
            <w:r w:rsidR="0047062D">
              <w:rPr>
                <w:noProof/>
                <w:webHidden/>
              </w:rPr>
            </w:r>
            <w:r w:rsidR="0047062D">
              <w:rPr>
                <w:noProof/>
                <w:webHidden/>
              </w:rPr>
              <w:fldChar w:fldCharType="separate"/>
            </w:r>
            <w:r w:rsidR="0047062D">
              <w:rPr>
                <w:noProof/>
                <w:webHidden/>
              </w:rPr>
              <w:t>13</w:t>
            </w:r>
            <w:r w:rsidR="0047062D">
              <w:rPr>
                <w:noProof/>
                <w:webHidden/>
              </w:rPr>
              <w:fldChar w:fldCharType="end"/>
            </w:r>
          </w:hyperlink>
        </w:p>
        <w:p w14:paraId="29ACE5F1" w14:textId="4A0CD925" w:rsidR="0047062D" w:rsidRDefault="00205423">
          <w:pPr>
            <w:pStyle w:val="TOC1"/>
            <w:tabs>
              <w:tab w:val="left" w:pos="440"/>
            </w:tabs>
            <w:rPr>
              <w:rFonts w:eastAsiaTheme="minorEastAsia"/>
              <w:noProof/>
              <w:lang w:val="en-IE" w:eastAsia="en-IE"/>
            </w:rPr>
          </w:pPr>
          <w:hyperlink w:anchor="_Toc59185391" w:history="1">
            <w:r w:rsidR="0047062D" w:rsidRPr="002F4B34">
              <w:rPr>
                <w:rStyle w:val="Hyperlink"/>
                <w:rFonts w:ascii="Times New Roman" w:hAnsi="Times New Roman" w:cs="Times New Roman"/>
                <w:noProof/>
              </w:rPr>
              <w:t>6.</w:t>
            </w:r>
            <w:r w:rsidR="0047062D">
              <w:rPr>
                <w:rFonts w:eastAsiaTheme="minorEastAsia"/>
                <w:noProof/>
                <w:lang w:val="en-IE" w:eastAsia="en-IE"/>
              </w:rPr>
              <w:tab/>
            </w:r>
            <w:r w:rsidR="0047062D" w:rsidRPr="002F4B34">
              <w:rPr>
                <w:rStyle w:val="Hyperlink"/>
                <w:rFonts w:ascii="Times New Roman" w:hAnsi="Times New Roman" w:cs="Times New Roman"/>
                <w:noProof/>
              </w:rPr>
              <w:t>Transitional period</w:t>
            </w:r>
            <w:r w:rsidR="0047062D">
              <w:rPr>
                <w:noProof/>
                <w:webHidden/>
              </w:rPr>
              <w:tab/>
            </w:r>
            <w:r w:rsidR="0047062D">
              <w:rPr>
                <w:noProof/>
                <w:webHidden/>
              </w:rPr>
              <w:fldChar w:fldCharType="begin"/>
            </w:r>
            <w:r w:rsidR="0047062D">
              <w:rPr>
                <w:noProof/>
                <w:webHidden/>
              </w:rPr>
              <w:instrText xml:space="preserve"> PAGEREF _Toc59185391 \h </w:instrText>
            </w:r>
            <w:r w:rsidR="0047062D">
              <w:rPr>
                <w:noProof/>
                <w:webHidden/>
              </w:rPr>
            </w:r>
            <w:r w:rsidR="0047062D">
              <w:rPr>
                <w:noProof/>
                <w:webHidden/>
              </w:rPr>
              <w:fldChar w:fldCharType="separate"/>
            </w:r>
            <w:r w:rsidR="0047062D">
              <w:rPr>
                <w:noProof/>
                <w:webHidden/>
              </w:rPr>
              <w:t>13</w:t>
            </w:r>
            <w:r w:rsidR="0047062D">
              <w:rPr>
                <w:noProof/>
                <w:webHidden/>
              </w:rPr>
              <w:fldChar w:fldCharType="end"/>
            </w:r>
          </w:hyperlink>
        </w:p>
        <w:p w14:paraId="68FE1FEC" w14:textId="42FBA227" w:rsidR="0047062D" w:rsidRDefault="00205423">
          <w:pPr>
            <w:pStyle w:val="TOC2"/>
            <w:tabs>
              <w:tab w:val="left" w:pos="880"/>
              <w:tab w:val="right" w:leader="dot" w:pos="9062"/>
            </w:tabs>
            <w:rPr>
              <w:rFonts w:eastAsiaTheme="minorEastAsia"/>
              <w:noProof/>
              <w:lang w:val="en-IE" w:eastAsia="en-IE"/>
            </w:rPr>
          </w:pPr>
          <w:hyperlink w:anchor="_Toc59185392" w:history="1">
            <w:r w:rsidR="0047062D" w:rsidRPr="002F4B34">
              <w:rPr>
                <w:rStyle w:val="Hyperlink"/>
                <w:noProof/>
              </w:rPr>
              <w:t>6.1</w:t>
            </w:r>
            <w:r w:rsidR="0047062D">
              <w:rPr>
                <w:rFonts w:eastAsiaTheme="minorEastAsia"/>
                <w:noProof/>
                <w:lang w:val="en-IE" w:eastAsia="en-IE"/>
              </w:rPr>
              <w:tab/>
            </w:r>
            <w:r w:rsidR="0047062D" w:rsidRPr="002F4B34">
              <w:rPr>
                <w:rStyle w:val="Hyperlink"/>
                <w:noProof/>
              </w:rPr>
              <w:t>When will the FPR start to apply?</w:t>
            </w:r>
            <w:r w:rsidR="0047062D">
              <w:rPr>
                <w:noProof/>
                <w:webHidden/>
              </w:rPr>
              <w:tab/>
            </w:r>
            <w:r w:rsidR="0047062D">
              <w:rPr>
                <w:noProof/>
                <w:webHidden/>
              </w:rPr>
              <w:fldChar w:fldCharType="begin"/>
            </w:r>
            <w:r w:rsidR="0047062D">
              <w:rPr>
                <w:noProof/>
                <w:webHidden/>
              </w:rPr>
              <w:instrText xml:space="preserve"> PAGEREF _Toc59185392 \h </w:instrText>
            </w:r>
            <w:r w:rsidR="0047062D">
              <w:rPr>
                <w:noProof/>
                <w:webHidden/>
              </w:rPr>
            </w:r>
            <w:r w:rsidR="0047062D">
              <w:rPr>
                <w:noProof/>
                <w:webHidden/>
              </w:rPr>
              <w:fldChar w:fldCharType="separate"/>
            </w:r>
            <w:r w:rsidR="0047062D">
              <w:rPr>
                <w:noProof/>
                <w:webHidden/>
              </w:rPr>
              <w:t>13</w:t>
            </w:r>
            <w:r w:rsidR="0047062D">
              <w:rPr>
                <w:noProof/>
                <w:webHidden/>
              </w:rPr>
              <w:fldChar w:fldCharType="end"/>
            </w:r>
          </w:hyperlink>
        </w:p>
        <w:p w14:paraId="781B849C" w14:textId="636B14A9" w:rsidR="0047062D" w:rsidRDefault="00205423">
          <w:pPr>
            <w:pStyle w:val="TOC2"/>
            <w:tabs>
              <w:tab w:val="left" w:pos="880"/>
              <w:tab w:val="right" w:leader="dot" w:pos="9062"/>
            </w:tabs>
            <w:rPr>
              <w:rFonts w:eastAsiaTheme="minorEastAsia"/>
              <w:noProof/>
              <w:lang w:val="en-IE" w:eastAsia="en-IE"/>
            </w:rPr>
          </w:pPr>
          <w:hyperlink w:anchor="_Toc59185393" w:history="1">
            <w:r w:rsidR="0047062D" w:rsidRPr="002F4B34">
              <w:rPr>
                <w:rStyle w:val="Hyperlink"/>
                <w:noProof/>
              </w:rPr>
              <w:t>6.2</w:t>
            </w:r>
            <w:r w:rsidR="0047062D">
              <w:rPr>
                <w:rFonts w:eastAsiaTheme="minorEastAsia"/>
                <w:noProof/>
                <w:lang w:val="en-IE" w:eastAsia="en-IE"/>
              </w:rPr>
              <w:tab/>
            </w:r>
            <w:r w:rsidR="0047062D" w:rsidRPr="002F4B34">
              <w:rPr>
                <w:rStyle w:val="Hyperlink"/>
                <w:noProof/>
              </w:rPr>
              <w:t>After 16 July 2022, is an economic operator allowed to make available on the market products designated “EC Fertilisers” under the current rules?</w:t>
            </w:r>
            <w:r w:rsidR="0047062D">
              <w:rPr>
                <w:noProof/>
                <w:webHidden/>
              </w:rPr>
              <w:tab/>
            </w:r>
            <w:r w:rsidR="0047062D">
              <w:rPr>
                <w:noProof/>
                <w:webHidden/>
              </w:rPr>
              <w:fldChar w:fldCharType="begin"/>
            </w:r>
            <w:r w:rsidR="0047062D">
              <w:rPr>
                <w:noProof/>
                <w:webHidden/>
              </w:rPr>
              <w:instrText xml:space="preserve"> PAGEREF _Toc59185393 \h </w:instrText>
            </w:r>
            <w:r w:rsidR="0047062D">
              <w:rPr>
                <w:noProof/>
                <w:webHidden/>
              </w:rPr>
            </w:r>
            <w:r w:rsidR="0047062D">
              <w:rPr>
                <w:noProof/>
                <w:webHidden/>
              </w:rPr>
              <w:fldChar w:fldCharType="separate"/>
            </w:r>
            <w:r w:rsidR="0047062D">
              <w:rPr>
                <w:noProof/>
                <w:webHidden/>
              </w:rPr>
              <w:t>13</w:t>
            </w:r>
            <w:r w:rsidR="0047062D">
              <w:rPr>
                <w:noProof/>
                <w:webHidden/>
              </w:rPr>
              <w:fldChar w:fldCharType="end"/>
            </w:r>
          </w:hyperlink>
        </w:p>
        <w:p w14:paraId="52BB59BE" w14:textId="30C146A4" w:rsidR="0047062D" w:rsidRDefault="00205423">
          <w:pPr>
            <w:pStyle w:val="TOC2"/>
            <w:tabs>
              <w:tab w:val="left" w:pos="880"/>
              <w:tab w:val="right" w:leader="dot" w:pos="9062"/>
            </w:tabs>
            <w:rPr>
              <w:rFonts w:eastAsiaTheme="minorEastAsia"/>
              <w:noProof/>
              <w:lang w:val="en-IE" w:eastAsia="en-IE"/>
            </w:rPr>
          </w:pPr>
          <w:hyperlink w:anchor="_Toc59185394" w:history="1">
            <w:r w:rsidR="0047062D" w:rsidRPr="002F4B34">
              <w:rPr>
                <w:rStyle w:val="Hyperlink"/>
                <w:noProof/>
              </w:rPr>
              <w:t>6.3</w:t>
            </w:r>
            <w:r w:rsidR="0047062D">
              <w:rPr>
                <w:rFonts w:eastAsiaTheme="minorEastAsia"/>
                <w:noProof/>
                <w:lang w:val="en-IE" w:eastAsia="en-IE"/>
              </w:rPr>
              <w:tab/>
            </w:r>
            <w:r w:rsidR="0047062D" w:rsidRPr="002F4B34">
              <w:rPr>
                <w:rStyle w:val="Hyperlink"/>
                <w:noProof/>
              </w:rPr>
              <w:t>Is it only distributors that are allowed, after 16 July 2022, to make available on the market products designated “EC fertilisers” under the current rules?</w:t>
            </w:r>
            <w:r w:rsidR="0047062D">
              <w:rPr>
                <w:noProof/>
                <w:webHidden/>
              </w:rPr>
              <w:tab/>
            </w:r>
            <w:r w:rsidR="0047062D">
              <w:rPr>
                <w:noProof/>
                <w:webHidden/>
              </w:rPr>
              <w:fldChar w:fldCharType="begin"/>
            </w:r>
            <w:r w:rsidR="0047062D">
              <w:rPr>
                <w:noProof/>
                <w:webHidden/>
              </w:rPr>
              <w:instrText xml:space="preserve"> PAGEREF _Toc59185394 \h </w:instrText>
            </w:r>
            <w:r w:rsidR="0047062D">
              <w:rPr>
                <w:noProof/>
                <w:webHidden/>
              </w:rPr>
            </w:r>
            <w:r w:rsidR="0047062D">
              <w:rPr>
                <w:noProof/>
                <w:webHidden/>
              </w:rPr>
              <w:fldChar w:fldCharType="separate"/>
            </w:r>
            <w:r w:rsidR="0047062D">
              <w:rPr>
                <w:noProof/>
                <w:webHidden/>
              </w:rPr>
              <w:t>14</w:t>
            </w:r>
            <w:r w:rsidR="0047062D">
              <w:rPr>
                <w:noProof/>
                <w:webHidden/>
              </w:rPr>
              <w:fldChar w:fldCharType="end"/>
            </w:r>
          </w:hyperlink>
        </w:p>
        <w:p w14:paraId="786EBEA3" w14:textId="3D1B0EC7" w:rsidR="0047062D" w:rsidRDefault="00205423">
          <w:pPr>
            <w:pStyle w:val="TOC2"/>
            <w:tabs>
              <w:tab w:val="left" w:pos="880"/>
              <w:tab w:val="right" w:leader="dot" w:pos="9062"/>
            </w:tabs>
            <w:rPr>
              <w:rFonts w:eastAsiaTheme="minorEastAsia"/>
              <w:noProof/>
              <w:lang w:val="en-IE" w:eastAsia="en-IE"/>
            </w:rPr>
          </w:pPr>
          <w:hyperlink w:anchor="_Toc59185395" w:history="1">
            <w:r w:rsidR="0047062D" w:rsidRPr="002F4B34">
              <w:rPr>
                <w:rStyle w:val="Hyperlink"/>
                <w:noProof/>
              </w:rPr>
              <w:t>6.4</w:t>
            </w:r>
            <w:r w:rsidR="0047062D">
              <w:rPr>
                <w:rFonts w:eastAsiaTheme="minorEastAsia"/>
                <w:noProof/>
                <w:lang w:val="en-IE" w:eastAsia="en-IE"/>
              </w:rPr>
              <w:tab/>
            </w:r>
            <w:r w:rsidR="0047062D" w:rsidRPr="002F4B34">
              <w:rPr>
                <w:rStyle w:val="Hyperlink"/>
                <w:noProof/>
              </w:rPr>
              <w:t>How can an economic operator prove that fertilisers designated ‘EC Fertilisers’ under the current rules have been placed on the market before 16 July 2022?</w:t>
            </w:r>
            <w:r w:rsidR="0047062D">
              <w:rPr>
                <w:noProof/>
                <w:webHidden/>
              </w:rPr>
              <w:tab/>
            </w:r>
            <w:r w:rsidR="0047062D">
              <w:rPr>
                <w:noProof/>
                <w:webHidden/>
              </w:rPr>
              <w:fldChar w:fldCharType="begin"/>
            </w:r>
            <w:r w:rsidR="0047062D">
              <w:rPr>
                <w:noProof/>
                <w:webHidden/>
              </w:rPr>
              <w:instrText xml:space="preserve"> PAGEREF _Toc59185395 \h </w:instrText>
            </w:r>
            <w:r w:rsidR="0047062D">
              <w:rPr>
                <w:noProof/>
                <w:webHidden/>
              </w:rPr>
            </w:r>
            <w:r w:rsidR="0047062D">
              <w:rPr>
                <w:noProof/>
                <w:webHidden/>
              </w:rPr>
              <w:fldChar w:fldCharType="separate"/>
            </w:r>
            <w:r w:rsidR="0047062D">
              <w:rPr>
                <w:noProof/>
                <w:webHidden/>
              </w:rPr>
              <w:t>15</w:t>
            </w:r>
            <w:r w:rsidR="0047062D">
              <w:rPr>
                <w:noProof/>
                <w:webHidden/>
              </w:rPr>
              <w:fldChar w:fldCharType="end"/>
            </w:r>
          </w:hyperlink>
        </w:p>
        <w:p w14:paraId="4B9473A4" w14:textId="0C1D050C" w:rsidR="0047062D" w:rsidRDefault="00205423">
          <w:pPr>
            <w:pStyle w:val="TOC2"/>
            <w:tabs>
              <w:tab w:val="left" w:pos="880"/>
              <w:tab w:val="right" w:leader="dot" w:pos="9062"/>
            </w:tabs>
            <w:rPr>
              <w:rFonts w:eastAsiaTheme="minorEastAsia"/>
              <w:noProof/>
              <w:lang w:val="en-IE" w:eastAsia="en-IE"/>
            </w:rPr>
          </w:pPr>
          <w:hyperlink w:anchor="_Toc59185396" w:history="1">
            <w:r w:rsidR="0047062D" w:rsidRPr="002F4B34">
              <w:rPr>
                <w:rStyle w:val="Hyperlink"/>
                <w:noProof/>
              </w:rPr>
              <w:t>6.5</w:t>
            </w:r>
            <w:r w:rsidR="0047062D">
              <w:rPr>
                <w:rFonts w:eastAsiaTheme="minorEastAsia"/>
                <w:noProof/>
                <w:lang w:val="en-IE" w:eastAsia="en-IE"/>
              </w:rPr>
              <w:tab/>
            </w:r>
            <w:r w:rsidR="0047062D" w:rsidRPr="002F4B34">
              <w:rPr>
                <w:rStyle w:val="Hyperlink"/>
                <w:noProof/>
              </w:rPr>
              <w:t>Before 16 July 2022, is an economic operator allowed to make EU fertilising products available on the market pursuant to the FPR?</w:t>
            </w:r>
            <w:r w:rsidR="0047062D">
              <w:rPr>
                <w:noProof/>
                <w:webHidden/>
              </w:rPr>
              <w:tab/>
            </w:r>
            <w:r w:rsidR="0047062D">
              <w:rPr>
                <w:noProof/>
                <w:webHidden/>
              </w:rPr>
              <w:fldChar w:fldCharType="begin"/>
            </w:r>
            <w:r w:rsidR="0047062D">
              <w:rPr>
                <w:noProof/>
                <w:webHidden/>
              </w:rPr>
              <w:instrText xml:space="preserve"> PAGEREF _Toc59185396 \h </w:instrText>
            </w:r>
            <w:r w:rsidR="0047062D">
              <w:rPr>
                <w:noProof/>
                <w:webHidden/>
              </w:rPr>
            </w:r>
            <w:r w:rsidR="0047062D">
              <w:rPr>
                <w:noProof/>
                <w:webHidden/>
              </w:rPr>
              <w:fldChar w:fldCharType="separate"/>
            </w:r>
            <w:r w:rsidR="0047062D">
              <w:rPr>
                <w:noProof/>
                <w:webHidden/>
              </w:rPr>
              <w:t>15</w:t>
            </w:r>
            <w:r w:rsidR="0047062D">
              <w:rPr>
                <w:noProof/>
                <w:webHidden/>
              </w:rPr>
              <w:fldChar w:fldCharType="end"/>
            </w:r>
          </w:hyperlink>
        </w:p>
        <w:p w14:paraId="1925414F" w14:textId="4FF32B92" w:rsidR="0047062D" w:rsidRDefault="00205423">
          <w:pPr>
            <w:pStyle w:val="TOC1"/>
            <w:tabs>
              <w:tab w:val="left" w:pos="440"/>
            </w:tabs>
            <w:rPr>
              <w:rFonts w:eastAsiaTheme="minorEastAsia"/>
              <w:noProof/>
              <w:lang w:val="en-IE" w:eastAsia="en-IE"/>
            </w:rPr>
          </w:pPr>
          <w:hyperlink w:anchor="_Toc59185397" w:history="1">
            <w:r w:rsidR="0047062D" w:rsidRPr="002F4B34">
              <w:rPr>
                <w:rStyle w:val="Hyperlink"/>
                <w:rFonts w:ascii="Times New Roman" w:hAnsi="Times New Roman" w:cs="Times New Roman"/>
                <w:noProof/>
              </w:rPr>
              <w:t>7.</w:t>
            </w:r>
            <w:r w:rsidR="0047062D">
              <w:rPr>
                <w:rFonts w:eastAsiaTheme="minorEastAsia"/>
                <w:noProof/>
                <w:lang w:val="en-IE" w:eastAsia="en-IE"/>
              </w:rPr>
              <w:tab/>
            </w:r>
            <w:r w:rsidR="0047062D" w:rsidRPr="002F4B34">
              <w:rPr>
                <w:rStyle w:val="Hyperlink"/>
                <w:rFonts w:ascii="Times New Roman" w:hAnsi="Times New Roman" w:cs="Times New Roman"/>
                <w:noProof/>
              </w:rPr>
              <w:t>Annex I – Product Function Category (PFC)</w:t>
            </w:r>
            <w:r w:rsidR="0047062D">
              <w:rPr>
                <w:noProof/>
                <w:webHidden/>
              </w:rPr>
              <w:tab/>
            </w:r>
            <w:r w:rsidR="0047062D">
              <w:rPr>
                <w:noProof/>
                <w:webHidden/>
              </w:rPr>
              <w:fldChar w:fldCharType="begin"/>
            </w:r>
            <w:r w:rsidR="0047062D">
              <w:rPr>
                <w:noProof/>
                <w:webHidden/>
              </w:rPr>
              <w:instrText xml:space="preserve"> PAGEREF _Toc59185397 \h </w:instrText>
            </w:r>
            <w:r w:rsidR="0047062D">
              <w:rPr>
                <w:noProof/>
                <w:webHidden/>
              </w:rPr>
            </w:r>
            <w:r w:rsidR="0047062D">
              <w:rPr>
                <w:noProof/>
                <w:webHidden/>
              </w:rPr>
              <w:fldChar w:fldCharType="separate"/>
            </w:r>
            <w:r w:rsidR="0047062D">
              <w:rPr>
                <w:noProof/>
                <w:webHidden/>
              </w:rPr>
              <w:t>15</w:t>
            </w:r>
            <w:r w:rsidR="0047062D">
              <w:rPr>
                <w:noProof/>
                <w:webHidden/>
              </w:rPr>
              <w:fldChar w:fldCharType="end"/>
            </w:r>
          </w:hyperlink>
        </w:p>
        <w:p w14:paraId="4547284D" w14:textId="6C2497A9" w:rsidR="0047062D" w:rsidRDefault="00205423">
          <w:pPr>
            <w:pStyle w:val="TOC2"/>
            <w:tabs>
              <w:tab w:val="left" w:pos="880"/>
              <w:tab w:val="right" w:leader="dot" w:pos="9062"/>
            </w:tabs>
            <w:rPr>
              <w:rFonts w:eastAsiaTheme="minorEastAsia"/>
              <w:noProof/>
              <w:lang w:val="en-IE" w:eastAsia="en-IE"/>
            </w:rPr>
          </w:pPr>
          <w:hyperlink w:anchor="_Toc59185398" w:history="1">
            <w:r w:rsidR="0047062D" w:rsidRPr="002F4B34">
              <w:rPr>
                <w:rStyle w:val="Hyperlink"/>
                <w:noProof/>
              </w:rPr>
              <w:t>7.1</w:t>
            </w:r>
            <w:r w:rsidR="0047062D">
              <w:rPr>
                <w:rFonts w:eastAsiaTheme="minorEastAsia"/>
                <w:noProof/>
                <w:lang w:val="en-IE" w:eastAsia="en-IE"/>
              </w:rPr>
              <w:tab/>
            </w:r>
            <w:r w:rsidR="0047062D" w:rsidRPr="002F4B34">
              <w:rPr>
                <w:rStyle w:val="Hyperlink"/>
                <w:noProof/>
              </w:rPr>
              <w:t>What is the function of an EU fertilising product?</w:t>
            </w:r>
            <w:r w:rsidR="0047062D">
              <w:rPr>
                <w:noProof/>
                <w:webHidden/>
              </w:rPr>
              <w:tab/>
            </w:r>
            <w:r w:rsidR="0047062D">
              <w:rPr>
                <w:noProof/>
                <w:webHidden/>
              </w:rPr>
              <w:fldChar w:fldCharType="begin"/>
            </w:r>
            <w:r w:rsidR="0047062D">
              <w:rPr>
                <w:noProof/>
                <w:webHidden/>
              </w:rPr>
              <w:instrText xml:space="preserve"> PAGEREF _Toc59185398 \h </w:instrText>
            </w:r>
            <w:r w:rsidR="0047062D">
              <w:rPr>
                <w:noProof/>
                <w:webHidden/>
              </w:rPr>
            </w:r>
            <w:r w:rsidR="0047062D">
              <w:rPr>
                <w:noProof/>
                <w:webHidden/>
              </w:rPr>
              <w:fldChar w:fldCharType="separate"/>
            </w:r>
            <w:r w:rsidR="0047062D">
              <w:rPr>
                <w:noProof/>
                <w:webHidden/>
              </w:rPr>
              <w:t>15</w:t>
            </w:r>
            <w:r w:rsidR="0047062D">
              <w:rPr>
                <w:noProof/>
                <w:webHidden/>
              </w:rPr>
              <w:fldChar w:fldCharType="end"/>
            </w:r>
          </w:hyperlink>
        </w:p>
        <w:p w14:paraId="55E1D914" w14:textId="283664F0" w:rsidR="0047062D" w:rsidRDefault="00205423">
          <w:pPr>
            <w:pStyle w:val="TOC2"/>
            <w:tabs>
              <w:tab w:val="left" w:pos="880"/>
              <w:tab w:val="right" w:leader="dot" w:pos="9062"/>
            </w:tabs>
            <w:rPr>
              <w:rFonts w:eastAsiaTheme="minorEastAsia"/>
              <w:noProof/>
              <w:lang w:val="en-IE" w:eastAsia="en-IE"/>
            </w:rPr>
          </w:pPr>
          <w:hyperlink w:anchor="_Toc59185399" w:history="1">
            <w:r w:rsidR="0047062D" w:rsidRPr="002F4B34">
              <w:rPr>
                <w:rStyle w:val="Hyperlink"/>
                <w:noProof/>
              </w:rPr>
              <w:t>7.2</w:t>
            </w:r>
            <w:r w:rsidR="0047062D">
              <w:rPr>
                <w:rFonts w:eastAsiaTheme="minorEastAsia"/>
                <w:noProof/>
                <w:lang w:val="en-IE" w:eastAsia="en-IE"/>
              </w:rPr>
              <w:tab/>
            </w:r>
            <w:r w:rsidR="0047062D" w:rsidRPr="002F4B34">
              <w:rPr>
                <w:rStyle w:val="Hyperlink"/>
                <w:noProof/>
              </w:rPr>
              <w:t>When a product could comply with different product function categories in the FPR, is the manufacturer free to choose the product function for that EU fertilising product?</w:t>
            </w:r>
            <w:r w:rsidR="0047062D">
              <w:rPr>
                <w:noProof/>
                <w:webHidden/>
              </w:rPr>
              <w:tab/>
            </w:r>
            <w:r w:rsidR="0047062D">
              <w:rPr>
                <w:noProof/>
                <w:webHidden/>
              </w:rPr>
              <w:fldChar w:fldCharType="begin"/>
            </w:r>
            <w:r w:rsidR="0047062D">
              <w:rPr>
                <w:noProof/>
                <w:webHidden/>
              </w:rPr>
              <w:instrText xml:space="preserve"> PAGEREF _Toc59185399 \h </w:instrText>
            </w:r>
            <w:r w:rsidR="0047062D">
              <w:rPr>
                <w:noProof/>
                <w:webHidden/>
              </w:rPr>
            </w:r>
            <w:r w:rsidR="0047062D">
              <w:rPr>
                <w:noProof/>
                <w:webHidden/>
              </w:rPr>
              <w:fldChar w:fldCharType="separate"/>
            </w:r>
            <w:r w:rsidR="0047062D">
              <w:rPr>
                <w:noProof/>
                <w:webHidden/>
              </w:rPr>
              <w:t>16</w:t>
            </w:r>
            <w:r w:rsidR="0047062D">
              <w:rPr>
                <w:noProof/>
                <w:webHidden/>
              </w:rPr>
              <w:fldChar w:fldCharType="end"/>
            </w:r>
          </w:hyperlink>
        </w:p>
        <w:p w14:paraId="5451BC91" w14:textId="702435C5" w:rsidR="0047062D" w:rsidRDefault="00205423">
          <w:pPr>
            <w:pStyle w:val="TOC2"/>
            <w:tabs>
              <w:tab w:val="left" w:pos="880"/>
              <w:tab w:val="right" w:leader="dot" w:pos="9062"/>
            </w:tabs>
            <w:rPr>
              <w:rFonts w:eastAsiaTheme="minorEastAsia"/>
              <w:noProof/>
              <w:lang w:val="en-IE" w:eastAsia="en-IE"/>
            </w:rPr>
          </w:pPr>
          <w:hyperlink w:anchor="_Toc59185400" w:history="1">
            <w:r w:rsidR="0047062D" w:rsidRPr="002F4B34">
              <w:rPr>
                <w:rStyle w:val="Hyperlink"/>
                <w:noProof/>
              </w:rPr>
              <w:t>7.3</w:t>
            </w:r>
            <w:r w:rsidR="0047062D">
              <w:rPr>
                <w:rFonts w:eastAsiaTheme="minorEastAsia"/>
                <w:noProof/>
                <w:lang w:val="en-IE" w:eastAsia="en-IE"/>
              </w:rPr>
              <w:tab/>
            </w:r>
            <w:r w:rsidR="0047062D" w:rsidRPr="002F4B34">
              <w:rPr>
                <w:rStyle w:val="Hyperlink"/>
                <w:noProof/>
              </w:rPr>
              <w:t>May an EU fertilising product belong to two product function categories at the same time?</w:t>
            </w:r>
            <w:r w:rsidR="0047062D">
              <w:rPr>
                <w:noProof/>
                <w:webHidden/>
              </w:rPr>
              <w:tab/>
            </w:r>
            <w:r w:rsidR="0047062D">
              <w:rPr>
                <w:noProof/>
                <w:webHidden/>
              </w:rPr>
              <w:fldChar w:fldCharType="begin"/>
            </w:r>
            <w:r w:rsidR="0047062D">
              <w:rPr>
                <w:noProof/>
                <w:webHidden/>
              </w:rPr>
              <w:instrText xml:space="preserve"> PAGEREF _Toc59185400 \h </w:instrText>
            </w:r>
            <w:r w:rsidR="0047062D">
              <w:rPr>
                <w:noProof/>
                <w:webHidden/>
              </w:rPr>
            </w:r>
            <w:r w:rsidR="0047062D">
              <w:rPr>
                <w:noProof/>
                <w:webHidden/>
              </w:rPr>
              <w:fldChar w:fldCharType="separate"/>
            </w:r>
            <w:r w:rsidR="0047062D">
              <w:rPr>
                <w:noProof/>
                <w:webHidden/>
              </w:rPr>
              <w:t>16</w:t>
            </w:r>
            <w:r w:rsidR="0047062D">
              <w:rPr>
                <w:noProof/>
                <w:webHidden/>
              </w:rPr>
              <w:fldChar w:fldCharType="end"/>
            </w:r>
          </w:hyperlink>
        </w:p>
        <w:p w14:paraId="5EBBDA85" w14:textId="3A64309D" w:rsidR="0047062D" w:rsidRDefault="00205423">
          <w:pPr>
            <w:pStyle w:val="TOC2"/>
            <w:tabs>
              <w:tab w:val="left" w:pos="880"/>
              <w:tab w:val="right" w:leader="dot" w:pos="9062"/>
            </w:tabs>
            <w:rPr>
              <w:rFonts w:eastAsiaTheme="minorEastAsia"/>
              <w:noProof/>
              <w:lang w:val="en-IE" w:eastAsia="en-IE"/>
            </w:rPr>
          </w:pPr>
          <w:hyperlink w:anchor="_Toc59185401" w:history="1">
            <w:r w:rsidR="0047062D" w:rsidRPr="002F4B34">
              <w:rPr>
                <w:rStyle w:val="Hyperlink"/>
                <w:noProof/>
              </w:rPr>
              <w:t>7.4</w:t>
            </w:r>
            <w:r w:rsidR="0047062D">
              <w:rPr>
                <w:rFonts w:eastAsiaTheme="minorEastAsia"/>
                <w:noProof/>
                <w:lang w:val="en-IE" w:eastAsia="en-IE"/>
              </w:rPr>
              <w:tab/>
            </w:r>
            <w:r w:rsidR="0047062D" w:rsidRPr="002F4B34">
              <w:rPr>
                <w:rStyle w:val="Hyperlink"/>
                <w:noProof/>
              </w:rPr>
              <w:t>What is the maximum content of organic carbon (C</w:t>
            </w:r>
            <w:r w:rsidR="0047062D" w:rsidRPr="002F4B34">
              <w:rPr>
                <w:rStyle w:val="Hyperlink"/>
                <w:noProof/>
                <w:vertAlign w:val="subscript"/>
              </w:rPr>
              <w:t>org</w:t>
            </w:r>
            <w:r w:rsidR="0047062D" w:rsidRPr="002F4B34">
              <w:rPr>
                <w:rStyle w:val="Hyperlink"/>
                <w:noProof/>
              </w:rPr>
              <w:t>) that an inorganic fertiliser may contain?</w:t>
            </w:r>
            <w:r w:rsidR="0047062D">
              <w:rPr>
                <w:noProof/>
                <w:webHidden/>
              </w:rPr>
              <w:tab/>
            </w:r>
            <w:r w:rsidR="0047062D">
              <w:rPr>
                <w:noProof/>
                <w:webHidden/>
              </w:rPr>
              <w:fldChar w:fldCharType="begin"/>
            </w:r>
            <w:r w:rsidR="0047062D">
              <w:rPr>
                <w:noProof/>
                <w:webHidden/>
              </w:rPr>
              <w:instrText xml:space="preserve"> PAGEREF _Toc59185401 \h </w:instrText>
            </w:r>
            <w:r w:rsidR="0047062D">
              <w:rPr>
                <w:noProof/>
                <w:webHidden/>
              </w:rPr>
            </w:r>
            <w:r w:rsidR="0047062D">
              <w:rPr>
                <w:noProof/>
                <w:webHidden/>
              </w:rPr>
              <w:fldChar w:fldCharType="separate"/>
            </w:r>
            <w:r w:rsidR="0047062D">
              <w:rPr>
                <w:noProof/>
                <w:webHidden/>
              </w:rPr>
              <w:t>17</w:t>
            </w:r>
            <w:r w:rsidR="0047062D">
              <w:rPr>
                <w:noProof/>
                <w:webHidden/>
              </w:rPr>
              <w:fldChar w:fldCharType="end"/>
            </w:r>
          </w:hyperlink>
        </w:p>
        <w:p w14:paraId="67BB03F8" w14:textId="054DD0C0" w:rsidR="0047062D" w:rsidRDefault="00205423">
          <w:pPr>
            <w:pStyle w:val="TOC2"/>
            <w:tabs>
              <w:tab w:val="left" w:pos="880"/>
              <w:tab w:val="right" w:leader="dot" w:pos="9062"/>
            </w:tabs>
            <w:rPr>
              <w:rFonts w:eastAsiaTheme="minorEastAsia"/>
              <w:noProof/>
              <w:lang w:val="en-IE" w:eastAsia="en-IE"/>
            </w:rPr>
          </w:pPr>
          <w:hyperlink w:anchor="_Toc59185402" w:history="1">
            <w:r w:rsidR="0047062D" w:rsidRPr="002F4B34">
              <w:rPr>
                <w:rStyle w:val="Hyperlink"/>
                <w:noProof/>
              </w:rPr>
              <w:t>7.5</w:t>
            </w:r>
            <w:r w:rsidR="0047062D">
              <w:rPr>
                <w:rFonts w:eastAsiaTheme="minorEastAsia"/>
                <w:noProof/>
                <w:lang w:val="en-IE" w:eastAsia="en-IE"/>
              </w:rPr>
              <w:tab/>
            </w:r>
            <w:r w:rsidR="0047062D" w:rsidRPr="002F4B34">
              <w:rPr>
                <w:rStyle w:val="Hyperlink"/>
                <w:noProof/>
              </w:rPr>
              <w:t>How to categorise an inorganic fertiliser that contains only secondary nutrients?</w:t>
            </w:r>
            <w:r w:rsidR="0047062D">
              <w:rPr>
                <w:noProof/>
                <w:webHidden/>
              </w:rPr>
              <w:tab/>
            </w:r>
            <w:r w:rsidR="0047062D">
              <w:rPr>
                <w:noProof/>
                <w:webHidden/>
              </w:rPr>
              <w:fldChar w:fldCharType="begin"/>
            </w:r>
            <w:r w:rsidR="0047062D">
              <w:rPr>
                <w:noProof/>
                <w:webHidden/>
              </w:rPr>
              <w:instrText xml:space="preserve"> PAGEREF _Toc59185402 \h </w:instrText>
            </w:r>
            <w:r w:rsidR="0047062D">
              <w:rPr>
                <w:noProof/>
                <w:webHidden/>
              </w:rPr>
            </w:r>
            <w:r w:rsidR="0047062D">
              <w:rPr>
                <w:noProof/>
                <w:webHidden/>
              </w:rPr>
              <w:fldChar w:fldCharType="separate"/>
            </w:r>
            <w:r w:rsidR="0047062D">
              <w:rPr>
                <w:noProof/>
                <w:webHidden/>
              </w:rPr>
              <w:t>17</w:t>
            </w:r>
            <w:r w:rsidR="0047062D">
              <w:rPr>
                <w:noProof/>
                <w:webHidden/>
              </w:rPr>
              <w:fldChar w:fldCharType="end"/>
            </w:r>
          </w:hyperlink>
        </w:p>
        <w:p w14:paraId="0C943144" w14:textId="757AD319" w:rsidR="0047062D" w:rsidRDefault="00205423">
          <w:pPr>
            <w:pStyle w:val="TOC2"/>
            <w:tabs>
              <w:tab w:val="left" w:pos="880"/>
              <w:tab w:val="right" w:leader="dot" w:pos="9062"/>
            </w:tabs>
            <w:rPr>
              <w:rFonts w:eastAsiaTheme="minorEastAsia"/>
              <w:noProof/>
              <w:lang w:val="en-IE" w:eastAsia="en-IE"/>
            </w:rPr>
          </w:pPr>
          <w:hyperlink w:anchor="_Toc59185403" w:history="1">
            <w:r w:rsidR="0047062D" w:rsidRPr="002F4B34">
              <w:rPr>
                <w:rStyle w:val="Hyperlink"/>
                <w:noProof/>
              </w:rPr>
              <w:t>7.6</w:t>
            </w:r>
            <w:r w:rsidR="0047062D">
              <w:rPr>
                <w:rFonts w:eastAsiaTheme="minorEastAsia"/>
                <w:noProof/>
                <w:lang w:val="en-IE" w:eastAsia="en-IE"/>
              </w:rPr>
              <w:tab/>
            </w:r>
            <w:r w:rsidR="0047062D" w:rsidRPr="002F4B34">
              <w:rPr>
                <w:rStyle w:val="Hyperlink"/>
                <w:noProof/>
              </w:rPr>
              <w:t>What is a fertilising product blend?</w:t>
            </w:r>
            <w:r w:rsidR="0047062D">
              <w:rPr>
                <w:noProof/>
                <w:webHidden/>
              </w:rPr>
              <w:tab/>
            </w:r>
            <w:r w:rsidR="0047062D">
              <w:rPr>
                <w:noProof/>
                <w:webHidden/>
              </w:rPr>
              <w:fldChar w:fldCharType="begin"/>
            </w:r>
            <w:r w:rsidR="0047062D">
              <w:rPr>
                <w:noProof/>
                <w:webHidden/>
              </w:rPr>
              <w:instrText xml:space="preserve"> PAGEREF _Toc59185403 \h </w:instrText>
            </w:r>
            <w:r w:rsidR="0047062D">
              <w:rPr>
                <w:noProof/>
                <w:webHidden/>
              </w:rPr>
            </w:r>
            <w:r w:rsidR="0047062D">
              <w:rPr>
                <w:noProof/>
                <w:webHidden/>
              </w:rPr>
              <w:fldChar w:fldCharType="separate"/>
            </w:r>
            <w:r w:rsidR="0047062D">
              <w:rPr>
                <w:noProof/>
                <w:webHidden/>
              </w:rPr>
              <w:t>17</w:t>
            </w:r>
            <w:r w:rsidR="0047062D">
              <w:rPr>
                <w:noProof/>
                <w:webHidden/>
              </w:rPr>
              <w:fldChar w:fldCharType="end"/>
            </w:r>
          </w:hyperlink>
        </w:p>
        <w:p w14:paraId="2C32ADF5" w14:textId="5AFBEBF1" w:rsidR="0047062D" w:rsidRDefault="00205423">
          <w:pPr>
            <w:pStyle w:val="TOC2"/>
            <w:tabs>
              <w:tab w:val="left" w:pos="880"/>
              <w:tab w:val="right" w:leader="dot" w:pos="9062"/>
            </w:tabs>
            <w:rPr>
              <w:rFonts w:eastAsiaTheme="minorEastAsia"/>
              <w:noProof/>
              <w:lang w:val="en-IE" w:eastAsia="en-IE"/>
            </w:rPr>
          </w:pPr>
          <w:hyperlink w:anchor="_Toc59185404" w:history="1">
            <w:r w:rsidR="0047062D" w:rsidRPr="002F4B34">
              <w:rPr>
                <w:rStyle w:val="Hyperlink"/>
                <w:noProof/>
              </w:rPr>
              <w:t>7.7</w:t>
            </w:r>
            <w:r w:rsidR="0047062D">
              <w:rPr>
                <w:rFonts w:eastAsiaTheme="minorEastAsia"/>
                <w:noProof/>
                <w:lang w:val="en-IE" w:eastAsia="en-IE"/>
              </w:rPr>
              <w:tab/>
            </w:r>
            <w:r w:rsidR="0047062D" w:rsidRPr="002F4B34">
              <w:rPr>
                <w:rStyle w:val="Hyperlink"/>
                <w:noProof/>
              </w:rPr>
              <w:t>What are the obligations of a blender under the FPR?</w:t>
            </w:r>
            <w:r w:rsidR="0047062D">
              <w:rPr>
                <w:noProof/>
                <w:webHidden/>
              </w:rPr>
              <w:tab/>
            </w:r>
            <w:r w:rsidR="0047062D">
              <w:rPr>
                <w:noProof/>
                <w:webHidden/>
              </w:rPr>
              <w:fldChar w:fldCharType="begin"/>
            </w:r>
            <w:r w:rsidR="0047062D">
              <w:rPr>
                <w:noProof/>
                <w:webHidden/>
              </w:rPr>
              <w:instrText xml:space="preserve"> PAGEREF _Toc59185404 \h </w:instrText>
            </w:r>
            <w:r w:rsidR="0047062D">
              <w:rPr>
                <w:noProof/>
                <w:webHidden/>
              </w:rPr>
            </w:r>
            <w:r w:rsidR="0047062D">
              <w:rPr>
                <w:noProof/>
                <w:webHidden/>
              </w:rPr>
              <w:fldChar w:fldCharType="separate"/>
            </w:r>
            <w:r w:rsidR="0047062D">
              <w:rPr>
                <w:noProof/>
                <w:webHidden/>
              </w:rPr>
              <w:t>18</w:t>
            </w:r>
            <w:r w:rsidR="0047062D">
              <w:rPr>
                <w:noProof/>
                <w:webHidden/>
              </w:rPr>
              <w:fldChar w:fldCharType="end"/>
            </w:r>
          </w:hyperlink>
        </w:p>
        <w:p w14:paraId="2F4868F2" w14:textId="0A99BA17" w:rsidR="0047062D" w:rsidRDefault="00205423">
          <w:pPr>
            <w:pStyle w:val="TOC2"/>
            <w:tabs>
              <w:tab w:val="left" w:pos="880"/>
              <w:tab w:val="right" w:leader="dot" w:pos="9062"/>
            </w:tabs>
            <w:rPr>
              <w:rFonts w:eastAsiaTheme="minorEastAsia"/>
              <w:noProof/>
              <w:lang w:val="en-IE" w:eastAsia="en-IE"/>
            </w:rPr>
          </w:pPr>
          <w:hyperlink w:anchor="_Toc59185405" w:history="1">
            <w:r w:rsidR="0047062D" w:rsidRPr="002F4B34">
              <w:rPr>
                <w:rStyle w:val="Hyperlink"/>
                <w:noProof/>
              </w:rPr>
              <w:t>7.8</w:t>
            </w:r>
            <w:r w:rsidR="0047062D">
              <w:rPr>
                <w:rFonts w:eastAsiaTheme="minorEastAsia"/>
                <w:noProof/>
                <w:lang w:val="en-IE" w:eastAsia="en-IE"/>
              </w:rPr>
              <w:tab/>
            </w:r>
            <w:r w:rsidR="0047062D" w:rsidRPr="002F4B34">
              <w:rPr>
                <w:rStyle w:val="Hyperlink"/>
                <w:noProof/>
              </w:rPr>
              <w:t>Is a blender of two EU fertilising products allowed to place the blend on the market without the CE mark, under national rules?</w:t>
            </w:r>
            <w:r w:rsidR="0047062D">
              <w:rPr>
                <w:noProof/>
                <w:webHidden/>
              </w:rPr>
              <w:tab/>
            </w:r>
            <w:r w:rsidR="0047062D">
              <w:rPr>
                <w:noProof/>
                <w:webHidden/>
              </w:rPr>
              <w:fldChar w:fldCharType="begin"/>
            </w:r>
            <w:r w:rsidR="0047062D">
              <w:rPr>
                <w:noProof/>
                <w:webHidden/>
              </w:rPr>
              <w:instrText xml:space="preserve"> PAGEREF _Toc59185405 \h </w:instrText>
            </w:r>
            <w:r w:rsidR="0047062D">
              <w:rPr>
                <w:noProof/>
                <w:webHidden/>
              </w:rPr>
            </w:r>
            <w:r w:rsidR="0047062D">
              <w:rPr>
                <w:noProof/>
                <w:webHidden/>
              </w:rPr>
              <w:fldChar w:fldCharType="separate"/>
            </w:r>
            <w:r w:rsidR="0047062D">
              <w:rPr>
                <w:noProof/>
                <w:webHidden/>
              </w:rPr>
              <w:t>18</w:t>
            </w:r>
            <w:r w:rsidR="0047062D">
              <w:rPr>
                <w:noProof/>
                <w:webHidden/>
              </w:rPr>
              <w:fldChar w:fldCharType="end"/>
            </w:r>
          </w:hyperlink>
        </w:p>
        <w:p w14:paraId="07EED6B2" w14:textId="5EF3D5A3" w:rsidR="0047062D" w:rsidRDefault="00205423">
          <w:pPr>
            <w:pStyle w:val="TOC1"/>
            <w:tabs>
              <w:tab w:val="left" w:pos="440"/>
            </w:tabs>
            <w:rPr>
              <w:rFonts w:eastAsiaTheme="minorEastAsia"/>
              <w:noProof/>
              <w:lang w:val="en-IE" w:eastAsia="en-IE"/>
            </w:rPr>
          </w:pPr>
          <w:hyperlink w:anchor="_Toc59185406" w:history="1">
            <w:r w:rsidR="0047062D" w:rsidRPr="002F4B34">
              <w:rPr>
                <w:rStyle w:val="Hyperlink"/>
                <w:rFonts w:ascii="Times New Roman" w:hAnsi="Times New Roman" w:cs="Times New Roman"/>
                <w:noProof/>
              </w:rPr>
              <w:t>8.</w:t>
            </w:r>
            <w:r w:rsidR="0047062D">
              <w:rPr>
                <w:rFonts w:eastAsiaTheme="minorEastAsia"/>
                <w:noProof/>
                <w:lang w:val="en-IE" w:eastAsia="en-IE"/>
              </w:rPr>
              <w:tab/>
            </w:r>
            <w:r w:rsidR="0047062D" w:rsidRPr="002F4B34">
              <w:rPr>
                <w:rStyle w:val="Hyperlink"/>
                <w:rFonts w:ascii="Times New Roman" w:hAnsi="Times New Roman" w:cs="Times New Roman"/>
                <w:noProof/>
              </w:rPr>
              <w:t>Annex II – Component Material Category (CMC)</w:t>
            </w:r>
            <w:r w:rsidR="0047062D">
              <w:rPr>
                <w:noProof/>
                <w:webHidden/>
              </w:rPr>
              <w:tab/>
            </w:r>
            <w:r w:rsidR="0047062D">
              <w:rPr>
                <w:noProof/>
                <w:webHidden/>
              </w:rPr>
              <w:fldChar w:fldCharType="begin"/>
            </w:r>
            <w:r w:rsidR="0047062D">
              <w:rPr>
                <w:noProof/>
                <w:webHidden/>
              </w:rPr>
              <w:instrText xml:space="preserve"> PAGEREF _Toc59185406 \h </w:instrText>
            </w:r>
            <w:r w:rsidR="0047062D">
              <w:rPr>
                <w:noProof/>
                <w:webHidden/>
              </w:rPr>
            </w:r>
            <w:r w:rsidR="0047062D">
              <w:rPr>
                <w:noProof/>
                <w:webHidden/>
              </w:rPr>
              <w:fldChar w:fldCharType="separate"/>
            </w:r>
            <w:r w:rsidR="0047062D">
              <w:rPr>
                <w:noProof/>
                <w:webHidden/>
              </w:rPr>
              <w:t>18</w:t>
            </w:r>
            <w:r w:rsidR="0047062D">
              <w:rPr>
                <w:noProof/>
                <w:webHidden/>
              </w:rPr>
              <w:fldChar w:fldCharType="end"/>
            </w:r>
          </w:hyperlink>
        </w:p>
        <w:p w14:paraId="70AF28C7" w14:textId="5E9E72F0" w:rsidR="0047062D" w:rsidRDefault="00205423">
          <w:pPr>
            <w:pStyle w:val="TOC2"/>
            <w:tabs>
              <w:tab w:val="left" w:pos="880"/>
              <w:tab w:val="right" w:leader="dot" w:pos="9062"/>
            </w:tabs>
            <w:rPr>
              <w:rFonts w:eastAsiaTheme="minorEastAsia"/>
              <w:noProof/>
              <w:lang w:val="en-IE" w:eastAsia="en-IE"/>
            </w:rPr>
          </w:pPr>
          <w:hyperlink w:anchor="_Toc59185407" w:history="1">
            <w:r w:rsidR="0047062D" w:rsidRPr="002F4B34">
              <w:rPr>
                <w:rStyle w:val="Hyperlink"/>
                <w:noProof/>
              </w:rPr>
              <w:t>8.1</w:t>
            </w:r>
            <w:r w:rsidR="0047062D">
              <w:rPr>
                <w:rFonts w:eastAsiaTheme="minorEastAsia"/>
                <w:noProof/>
                <w:lang w:val="en-IE" w:eastAsia="en-IE"/>
              </w:rPr>
              <w:tab/>
            </w:r>
            <w:r w:rsidR="0047062D" w:rsidRPr="002F4B34">
              <w:rPr>
                <w:rStyle w:val="Hyperlink"/>
                <w:noProof/>
              </w:rPr>
              <w:t>What may EU fertilising products contain/consist of?</w:t>
            </w:r>
            <w:r w:rsidR="0047062D">
              <w:rPr>
                <w:noProof/>
                <w:webHidden/>
              </w:rPr>
              <w:tab/>
            </w:r>
            <w:r w:rsidR="0047062D">
              <w:rPr>
                <w:noProof/>
                <w:webHidden/>
              </w:rPr>
              <w:fldChar w:fldCharType="begin"/>
            </w:r>
            <w:r w:rsidR="0047062D">
              <w:rPr>
                <w:noProof/>
                <w:webHidden/>
              </w:rPr>
              <w:instrText xml:space="preserve"> PAGEREF _Toc59185407 \h </w:instrText>
            </w:r>
            <w:r w:rsidR="0047062D">
              <w:rPr>
                <w:noProof/>
                <w:webHidden/>
              </w:rPr>
            </w:r>
            <w:r w:rsidR="0047062D">
              <w:rPr>
                <w:noProof/>
                <w:webHidden/>
              </w:rPr>
              <w:fldChar w:fldCharType="separate"/>
            </w:r>
            <w:r w:rsidR="0047062D">
              <w:rPr>
                <w:noProof/>
                <w:webHidden/>
              </w:rPr>
              <w:t>18</w:t>
            </w:r>
            <w:r w:rsidR="0047062D">
              <w:rPr>
                <w:noProof/>
                <w:webHidden/>
              </w:rPr>
              <w:fldChar w:fldCharType="end"/>
            </w:r>
          </w:hyperlink>
        </w:p>
        <w:p w14:paraId="0ABC4A64" w14:textId="404786FC" w:rsidR="0047062D" w:rsidRDefault="00205423">
          <w:pPr>
            <w:pStyle w:val="TOC2"/>
            <w:tabs>
              <w:tab w:val="left" w:pos="880"/>
              <w:tab w:val="right" w:leader="dot" w:pos="9062"/>
            </w:tabs>
            <w:rPr>
              <w:rFonts w:eastAsiaTheme="minorEastAsia"/>
              <w:noProof/>
              <w:lang w:val="en-IE" w:eastAsia="en-IE"/>
            </w:rPr>
          </w:pPr>
          <w:hyperlink w:anchor="_Toc59185408" w:history="1">
            <w:r w:rsidR="0047062D" w:rsidRPr="002F4B34">
              <w:rPr>
                <w:rStyle w:val="Hyperlink"/>
                <w:noProof/>
              </w:rPr>
              <w:t>8.2</w:t>
            </w:r>
            <w:r w:rsidR="0047062D">
              <w:rPr>
                <w:rFonts w:eastAsiaTheme="minorEastAsia"/>
                <w:noProof/>
                <w:lang w:val="en-IE" w:eastAsia="en-IE"/>
              </w:rPr>
              <w:tab/>
            </w:r>
            <w:r w:rsidR="0047062D" w:rsidRPr="002F4B34">
              <w:rPr>
                <w:rStyle w:val="Hyperlink"/>
                <w:noProof/>
              </w:rPr>
              <w:t>How does a manufacturer demonstrate that the product placed on the market consists “solely” of CMCs? Is the manufacturer required to produce a list of all CMCs present in the final product indicating the % of each one?</w:t>
            </w:r>
            <w:r w:rsidR="0047062D">
              <w:rPr>
                <w:noProof/>
                <w:webHidden/>
              </w:rPr>
              <w:tab/>
            </w:r>
            <w:r w:rsidR="0047062D">
              <w:rPr>
                <w:noProof/>
                <w:webHidden/>
              </w:rPr>
              <w:fldChar w:fldCharType="begin"/>
            </w:r>
            <w:r w:rsidR="0047062D">
              <w:rPr>
                <w:noProof/>
                <w:webHidden/>
              </w:rPr>
              <w:instrText xml:space="preserve"> PAGEREF _Toc59185408 \h </w:instrText>
            </w:r>
            <w:r w:rsidR="0047062D">
              <w:rPr>
                <w:noProof/>
                <w:webHidden/>
              </w:rPr>
            </w:r>
            <w:r w:rsidR="0047062D">
              <w:rPr>
                <w:noProof/>
                <w:webHidden/>
              </w:rPr>
              <w:fldChar w:fldCharType="separate"/>
            </w:r>
            <w:r w:rsidR="0047062D">
              <w:rPr>
                <w:noProof/>
                <w:webHidden/>
              </w:rPr>
              <w:t>19</w:t>
            </w:r>
            <w:r w:rsidR="0047062D">
              <w:rPr>
                <w:noProof/>
                <w:webHidden/>
              </w:rPr>
              <w:fldChar w:fldCharType="end"/>
            </w:r>
          </w:hyperlink>
        </w:p>
        <w:p w14:paraId="747E879C" w14:textId="1EBE8B21" w:rsidR="0047062D" w:rsidRDefault="00205423">
          <w:pPr>
            <w:pStyle w:val="TOC2"/>
            <w:tabs>
              <w:tab w:val="left" w:pos="880"/>
              <w:tab w:val="right" w:leader="dot" w:pos="9062"/>
            </w:tabs>
            <w:rPr>
              <w:rFonts w:eastAsiaTheme="minorEastAsia"/>
              <w:noProof/>
              <w:lang w:val="en-IE" w:eastAsia="en-IE"/>
            </w:rPr>
          </w:pPr>
          <w:hyperlink w:anchor="_Toc59185409" w:history="1">
            <w:r w:rsidR="0047062D" w:rsidRPr="002F4B34">
              <w:rPr>
                <w:rStyle w:val="Hyperlink"/>
                <w:noProof/>
              </w:rPr>
              <w:t>8.3</w:t>
            </w:r>
            <w:r w:rsidR="0047062D">
              <w:rPr>
                <w:rFonts w:eastAsiaTheme="minorEastAsia"/>
                <w:noProof/>
                <w:lang w:val="en-IE" w:eastAsia="en-IE"/>
              </w:rPr>
              <w:tab/>
            </w:r>
            <w:r w:rsidR="0047062D" w:rsidRPr="002F4B34">
              <w:rPr>
                <w:rStyle w:val="Hyperlink"/>
                <w:noProof/>
              </w:rPr>
              <w:t>Can a component material fit under two CMCs at the same time (e.g. both CMC 1 (virgin substance) and 11 (by-products within the meaning of WFD), or both CMC 6 (food industry by-products) and 11)? If yes, who decides what CMC to rely on?</w:t>
            </w:r>
            <w:r w:rsidR="0047062D">
              <w:rPr>
                <w:noProof/>
                <w:webHidden/>
              </w:rPr>
              <w:tab/>
            </w:r>
            <w:r w:rsidR="0047062D">
              <w:rPr>
                <w:noProof/>
                <w:webHidden/>
              </w:rPr>
              <w:fldChar w:fldCharType="begin"/>
            </w:r>
            <w:r w:rsidR="0047062D">
              <w:rPr>
                <w:noProof/>
                <w:webHidden/>
              </w:rPr>
              <w:instrText xml:space="preserve"> PAGEREF _Toc59185409 \h </w:instrText>
            </w:r>
            <w:r w:rsidR="0047062D">
              <w:rPr>
                <w:noProof/>
                <w:webHidden/>
              </w:rPr>
            </w:r>
            <w:r w:rsidR="0047062D">
              <w:rPr>
                <w:noProof/>
                <w:webHidden/>
              </w:rPr>
              <w:fldChar w:fldCharType="separate"/>
            </w:r>
            <w:r w:rsidR="0047062D">
              <w:rPr>
                <w:noProof/>
                <w:webHidden/>
              </w:rPr>
              <w:t>19</w:t>
            </w:r>
            <w:r w:rsidR="0047062D">
              <w:rPr>
                <w:noProof/>
                <w:webHidden/>
              </w:rPr>
              <w:fldChar w:fldCharType="end"/>
            </w:r>
          </w:hyperlink>
        </w:p>
        <w:p w14:paraId="35256F19" w14:textId="7AF3DD68" w:rsidR="0047062D" w:rsidRDefault="00205423">
          <w:pPr>
            <w:pStyle w:val="TOC2"/>
            <w:tabs>
              <w:tab w:val="left" w:pos="880"/>
              <w:tab w:val="right" w:leader="dot" w:pos="9062"/>
            </w:tabs>
            <w:rPr>
              <w:rFonts w:eastAsiaTheme="minorEastAsia"/>
              <w:noProof/>
              <w:lang w:val="en-IE" w:eastAsia="en-IE"/>
            </w:rPr>
          </w:pPr>
          <w:hyperlink w:anchor="_Toc59185410" w:history="1">
            <w:r w:rsidR="0047062D" w:rsidRPr="002F4B34">
              <w:rPr>
                <w:rStyle w:val="Hyperlink"/>
                <w:noProof/>
              </w:rPr>
              <w:t>8.4</w:t>
            </w:r>
            <w:r w:rsidR="0047062D">
              <w:rPr>
                <w:rFonts w:eastAsiaTheme="minorEastAsia"/>
                <w:noProof/>
                <w:lang w:val="en-IE" w:eastAsia="en-IE"/>
              </w:rPr>
              <w:tab/>
            </w:r>
            <w:r w:rsidR="0047062D" w:rsidRPr="002F4B34">
              <w:rPr>
                <w:rStyle w:val="Hyperlink"/>
                <w:noProof/>
              </w:rPr>
              <w:t>Is it possible to place on the market in an EU country, EU fertilising products containing compost or digestate even if the compost or digestate therein do not meet the national end-of waste criteria?</w:t>
            </w:r>
            <w:r w:rsidR="0047062D">
              <w:rPr>
                <w:noProof/>
                <w:webHidden/>
              </w:rPr>
              <w:tab/>
            </w:r>
            <w:r w:rsidR="0047062D">
              <w:rPr>
                <w:noProof/>
                <w:webHidden/>
              </w:rPr>
              <w:fldChar w:fldCharType="begin"/>
            </w:r>
            <w:r w:rsidR="0047062D">
              <w:rPr>
                <w:noProof/>
                <w:webHidden/>
              </w:rPr>
              <w:instrText xml:space="preserve"> PAGEREF _Toc59185410 \h </w:instrText>
            </w:r>
            <w:r w:rsidR="0047062D">
              <w:rPr>
                <w:noProof/>
                <w:webHidden/>
              </w:rPr>
            </w:r>
            <w:r w:rsidR="0047062D">
              <w:rPr>
                <w:noProof/>
                <w:webHidden/>
              </w:rPr>
              <w:fldChar w:fldCharType="separate"/>
            </w:r>
            <w:r w:rsidR="0047062D">
              <w:rPr>
                <w:noProof/>
                <w:webHidden/>
              </w:rPr>
              <w:t>20</w:t>
            </w:r>
            <w:r w:rsidR="0047062D">
              <w:rPr>
                <w:noProof/>
                <w:webHidden/>
              </w:rPr>
              <w:fldChar w:fldCharType="end"/>
            </w:r>
          </w:hyperlink>
        </w:p>
        <w:p w14:paraId="7823DCA2" w14:textId="295E872D" w:rsidR="0047062D" w:rsidRDefault="00205423">
          <w:pPr>
            <w:pStyle w:val="TOC2"/>
            <w:tabs>
              <w:tab w:val="left" w:pos="880"/>
              <w:tab w:val="right" w:leader="dot" w:pos="9062"/>
            </w:tabs>
            <w:rPr>
              <w:rFonts w:eastAsiaTheme="minorEastAsia"/>
              <w:noProof/>
              <w:lang w:val="en-IE" w:eastAsia="en-IE"/>
            </w:rPr>
          </w:pPr>
          <w:hyperlink w:anchor="_Toc59185411" w:history="1">
            <w:r w:rsidR="0047062D" w:rsidRPr="002F4B34">
              <w:rPr>
                <w:rStyle w:val="Hyperlink"/>
                <w:noProof/>
              </w:rPr>
              <w:t>8.5</w:t>
            </w:r>
            <w:r w:rsidR="0047062D">
              <w:rPr>
                <w:rFonts w:eastAsiaTheme="minorEastAsia"/>
                <w:noProof/>
                <w:lang w:val="en-IE" w:eastAsia="en-IE"/>
              </w:rPr>
              <w:tab/>
            </w:r>
            <w:r w:rsidR="0047062D" w:rsidRPr="002F4B34">
              <w:rPr>
                <w:rStyle w:val="Hyperlink"/>
                <w:noProof/>
              </w:rPr>
              <w:t>If raw materials taken from earth/ground are used as raw material and remain in unreacted form in the fertilising product, then is it necessary to do a REACH registration for that material for the purpose of compliance with CMC 1?</w:t>
            </w:r>
            <w:r w:rsidR="0047062D">
              <w:rPr>
                <w:noProof/>
                <w:webHidden/>
              </w:rPr>
              <w:tab/>
            </w:r>
            <w:r w:rsidR="0047062D">
              <w:rPr>
                <w:noProof/>
                <w:webHidden/>
              </w:rPr>
              <w:fldChar w:fldCharType="begin"/>
            </w:r>
            <w:r w:rsidR="0047062D">
              <w:rPr>
                <w:noProof/>
                <w:webHidden/>
              </w:rPr>
              <w:instrText xml:space="preserve"> PAGEREF _Toc59185411 \h </w:instrText>
            </w:r>
            <w:r w:rsidR="0047062D">
              <w:rPr>
                <w:noProof/>
                <w:webHidden/>
              </w:rPr>
            </w:r>
            <w:r w:rsidR="0047062D">
              <w:rPr>
                <w:noProof/>
                <w:webHidden/>
              </w:rPr>
              <w:fldChar w:fldCharType="separate"/>
            </w:r>
            <w:r w:rsidR="0047062D">
              <w:rPr>
                <w:noProof/>
                <w:webHidden/>
              </w:rPr>
              <w:t>20</w:t>
            </w:r>
            <w:r w:rsidR="0047062D">
              <w:rPr>
                <w:noProof/>
                <w:webHidden/>
              </w:rPr>
              <w:fldChar w:fldCharType="end"/>
            </w:r>
          </w:hyperlink>
        </w:p>
        <w:p w14:paraId="12D428CB" w14:textId="5AEAE11C" w:rsidR="0047062D" w:rsidRDefault="00205423">
          <w:pPr>
            <w:pStyle w:val="TOC2"/>
            <w:tabs>
              <w:tab w:val="left" w:pos="880"/>
              <w:tab w:val="right" w:leader="dot" w:pos="9062"/>
            </w:tabs>
            <w:rPr>
              <w:rFonts w:eastAsiaTheme="minorEastAsia"/>
              <w:noProof/>
              <w:lang w:val="en-IE" w:eastAsia="en-IE"/>
            </w:rPr>
          </w:pPr>
          <w:hyperlink w:anchor="_Toc59185412" w:history="1">
            <w:r w:rsidR="0047062D" w:rsidRPr="002F4B34">
              <w:rPr>
                <w:rStyle w:val="Hyperlink"/>
                <w:noProof/>
                <w:lang w:val="en-IE"/>
              </w:rPr>
              <w:t>8.6</w:t>
            </w:r>
            <w:r w:rsidR="0047062D">
              <w:rPr>
                <w:rFonts w:eastAsiaTheme="minorEastAsia"/>
                <w:noProof/>
                <w:lang w:val="en-IE" w:eastAsia="en-IE"/>
              </w:rPr>
              <w:tab/>
            </w:r>
            <w:r w:rsidR="0047062D" w:rsidRPr="002F4B34">
              <w:rPr>
                <w:rStyle w:val="Hyperlink"/>
                <w:noProof/>
                <w:lang w:val="en-IE"/>
              </w:rPr>
              <w:t>Does the obligation for REACH registration in CMC 1 apply for preservative agents incorporated in fertilising products that are already approved under the Biocidal Products Regulation?</w:t>
            </w:r>
            <w:r w:rsidR="0047062D">
              <w:rPr>
                <w:noProof/>
                <w:webHidden/>
              </w:rPr>
              <w:tab/>
            </w:r>
            <w:r w:rsidR="0047062D">
              <w:rPr>
                <w:noProof/>
                <w:webHidden/>
              </w:rPr>
              <w:fldChar w:fldCharType="begin"/>
            </w:r>
            <w:r w:rsidR="0047062D">
              <w:rPr>
                <w:noProof/>
                <w:webHidden/>
              </w:rPr>
              <w:instrText xml:space="preserve"> PAGEREF _Toc59185412 \h </w:instrText>
            </w:r>
            <w:r w:rsidR="0047062D">
              <w:rPr>
                <w:noProof/>
                <w:webHidden/>
              </w:rPr>
            </w:r>
            <w:r w:rsidR="0047062D">
              <w:rPr>
                <w:noProof/>
                <w:webHidden/>
              </w:rPr>
              <w:fldChar w:fldCharType="separate"/>
            </w:r>
            <w:r w:rsidR="0047062D">
              <w:rPr>
                <w:noProof/>
                <w:webHidden/>
              </w:rPr>
              <w:t>20</w:t>
            </w:r>
            <w:r w:rsidR="0047062D">
              <w:rPr>
                <w:noProof/>
                <w:webHidden/>
              </w:rPr>
              <w:fldChar w:fldCharType="end"/>
            </w:r>
          </w:hyperlink>
        </w:p>
        <w:p w14:paraId="702DA39F" w14:textId="1E0A4EEF" w:rsidR="0047062D" w:rsidRDefault="00205423">
          <w:pPr>
            <w:pStyle w:val="TOC2"/>
            <w:tabs>
              <w:tab w:val="left" w:pos="880"/>
              <w:tab w:val="right" w:leader="dot" w:pos="9062"/>
            </w:tabs>
            <w:rPr>
              <w:rFonts w:eastAsiaTheme="minorEastAsia"/>
              <w:noProof/>
              <w:lang w:val="en-IE" w:eastAsia="en-IE"/>
            </w:rPr>
          </w:pPr>
          <w:hyperlink w:anchor="_Toc59185413" w:history="1">
            <w:r w:rsidR="0047062D" w:rsidRPr="002F4B34">
              <w:rPr>
                <w:rStyle w:val="Hyperlink"/>
                <w:noProof/>
              </w:rPr>
              <w:t>8.7</w:t>
            </w:r>
            <w:r w:rsidR="0047062D">
              <w:rPr>
                <w:rFonts w:eastAsiaTheme="minorEastAsia"/>
                <w:noProof/>
                <w:lang w:val="en-IE" w:eastAsia="en-IE"/>
              </w:rPr>
              <w:tab/>
            </w:r>
            <w:r w:rsidR="0047062D" w:rsidRPr="002F4B34">
              <w:rPr>
                <w:rStyle w:val="Hyperlink"/>
                <w:noProof/>
              </w:rPr>
              <w:t>Can ammonium sulphate as a by-product from caprolactam or coke oven production be classified as a component material belonging to CMC 1 (Virgin material substances and mixtures)?</w:t>
            </w:r>
            <w:r w:rsidR="0047062D">
              <w:rPr>
                <w:noProof/>
                <w:webHidden/>
              </w:rPr>
              <w:tab/>
            </w:r>
            <w:r w:rsidR="0047062D">
              <w:rPr>
                <w:noProof/>
                <w:webHidden/>
              </w:rPr>
              <w:fldChar w:fldCharType="begin"/>
            </w:r>
            <w:r w:rsidR="0047062D">
              <w:rPr>
                <w:noProof/>
                <w:webHidden/>
              </w:rPr>
              <w:instrText xml:space="preserve"> PAGEREF _Toc59185413 \h </w:instrText>
            </w:r>
            <w:r w:rsidR="0047062D">
              <w:rPr>
                <w:noProof/>
                <w:webHidden/>
              </w:rPr>
            </w:r>
            <w:r w:rsidR="0047062D">
              <w:rPr>
                <w:noProof/>
                <w:webHidden/>
              </w:rPr>
              <w:fldChar w:fldCharType="separate"/>
            </w:r>
            <w:r w:rsidR="0047062D">
              <w:rPr>
                <w:noProof/>
                <w:webHidden/>
              </w:rPr>
              <w:t>21</w:t>
            </w:r>
            <w:r w:rsidR="0047062D">
              <w:rPr>
                <w:noProof/>
                <w:webHidden/>
              </w:rPr>
              <w:fldChar w:fldCharType="end"/>
            </w:r>
          </w:hyperlink>
        </w:p>
        <w:p w14:paraId="21EB0D97" w14:textId="5A243D83" w:rsidR="0047062D" w:rsidRDefault="00205423">
          <w:pPr>
            <w:pStyle w:val="TOC2"/>
            <w:tabs>
              <w:tab w:val="left" w:pos="880"/>
              <w:tab w:val="right" w:leader="dot" w:pos="9062"/>
            </w:tabs>
            <w:rPr>
              <w:rFonts w:eastAsiaTheme="minorEastAsia"/>
              <w:noProof/>
              <w:lang w:val="en-IE" w:eastAsia="en-IE"/>
            </w:rPr>
          </w:pPr>
          <w:hyperlink w:anchor="_Toc59185414" w:history="1">
            <w:r w:rsidR="0047062D" w:rsidRPr="002F4B34">
              <w:rPr>
                <w:rStyle w:val="Hyperlink"/>
                <w:noProof/>
              </w:rPr>
              <w:t>8.8</w:t>
            </w:r>
            <w:r w:rsidR="0047062D">
              <w:rPr>
                <w:rFonts w:eastAsiaTheme="minorEastAsia"/>
                <w:noProof/>
                <w:lang w:val="en-IE" w:eastAsia="en-IE"/>
              </w:rPr>
              <w:tab/>
            </w:r>
            <w:r w:rsidR="0047062D" w:rsidRPr="002F4B34">
              <w:rPr>
                <w:rStyle w:val="Hyperlink"/>
                <w:noProof/>
              </w:rPr>
              <w:t>Does the CMC 2 (Plants, plant parts or plant extracts) include the seaweed extracted with alkaline solution?</w:t>
            </w:r>
            <w:r w:rsidR="0047062D">
              <w:rPr>
                <w:noProof/>
                <w:webHidden/>
              </w:rPr>
              <w:tab/>
            </w:r>
            <w:r w:rsidR="0047062D">
              <w:rPr>
                <w:noProof/>
                <w:webHidden/>
              </w:rPr>
              <w:fldChar w:fldCharType="begin"/>
            </w:r>
            <w:r w:rsidR="0047062D">
              <w:rPr>
                <w:noProof/>
                <w:webHidden/>
              </w:rPr>
              <w:instrText xml:space="preserve"> PAGEREF _Toc59185414 \h </w:instrText>
            </w:r>
            <w:r w:rsidR="0047062D">
              <w:rPr>
                <w:noProof/>
                <w:webHidden/>
              </w:rPr>
            </w:r>
            <w:r w:rsidR="0047062D">
              <w:rPr>
                <w:noProof/>
                <w:webHidden/>
              </w:rPr>
              <w:fldChar w:fldCharType="separate"/>
            </w:r>
            <w:r w:rsidR="0047062D">
              <w:rPr>
                <w:noProof/>
                <w:webHidden/>
              </w:rPr>
              <w:t>21</w:t>
            </w:r>
            <w:r w:rsidR="0047062D">
              <w:rPr>
                <w:noProof/>
                <w:webHidden/>
              </w:rPr>
              <w:fldChar w:fldCharType="end"/>
            </w:r>
          </w:hyperlink>
        </w:p>
        <w:p w14:paraId="51751306" w14:textId="612EDF72" w:rsidR="0047062D" w:rsidRDefault="00205423">
          <w:pPr>
            <w:pStyle w:val="TOC2"/>
            <w:tabs>
              <w:tab w:val="left" w:pos="880"/>
              <w:tab w:val="right" w:leader="dot" w:pos="9062"/>
            </w:tabs>
            <w:rPr>
              <w:rFonts w:eastAsiaTheme="minorEastAsia"/>
              <w:noProof/>
              <w:lang w:val="en-IE" w:eastAsia="en-IE"/>
            </w:rPr>
          </w:pPr>
          <w:hyperlink w:anchor="_Toc59185415" w:history="1">
            <w:r w:rsidR="0047062D" w:rsidRPr="002F4B34">
              <w:rPr>
                <w:rStyle w:val="Hyperlink"/>
                <w:noProof/>
              </w:rPr>
              <w:t>8.9</w:t>
            </w:r>
            <w:r w:rsidR="0047062D">
              <w:rPr>
                <w:rFonts w:eastAsiaTheme="minorEastAsia"/>
                <w:noProof/>
                <w:lang w:val="en-IE" w:eastAsia="en-IE"/>
              </w:rPr>
              <w:tab/>
            </w:r>
            <w:r w:rsidR="0047062D" w:rsidRPr="002F4B34">
              <w:rPr>
                <w:rStyle w:val="Hyperlink"/>
                <w:noProof/>
              </w:rPr>
              <w:t>If a CMC 1 ingredient is produced through intentional chemical reaction between two chemical substances (‘precursors’), at which point in the manufacturing process must the chemical substance(s) comply with the requirements of CMC 1? Is it the precursors or the reaction product that need to correspond with the conditions in CMC 1?</w:t>
            </w:r>
            <w:r w:rsidR="0047062D">
              <w:rPr>
                <w:noProof/>
                <w:webHidden/>
              </w:rPr>
              <w:tab/>
            </w:r>
            <w:r w:rsidR="0047062D">
              <w:rPr>
                <w:noProof/>
                <w:webHidden/>
              </w:rPr>
              <w:fldChar w:fldCharType="begin"/>
            </w:r>
            <w:r w:rsidR="0047062D">
              <w:rPr>
                <w:noProof/>
                <w:webHidden/>
              </w:rPr>
              <w:instrText xml:space="preserve"> PAGEREF _Toc59185415 \h </w:instrText>
            </w:r>
            <w:r w:rsidR="0047062D">
              <w:rPr>
                <w:noProof/>
                <w:webHidden/>
              </w:rPr>
            </w:r>
            <w:r w:rsidR="0047062D">
              <w:rPr>
                <w:noProof/>
                <w:webHidden/>
              </w:rPr>
              <w:fldChar w:fldCharType="separate"/>
            </w:r>
            <w:r w:rsidR="0047062D">
              <w:rPr>
                <w:noProof/>
                <w:webHidden/>
              </w:rPr>
              <w:t>21</w:t>
            </w:r>
            <w:r w:rsidR="0047062D">
              <w:rPr>
                <w:noProof/>
                <w:webHidden/>
              </w:rPr>
              <w:fldChar w:fldCharType="end"/>
            </w:r>
          </w:hyperlink>
        </w:p>
        <w:p w14:paraId="1367BDBA" w14:textId="525E820F" w:rsidR="0047062D" w:rsidRDefault="00205423">
          <w:pPr>
            <w:pStyle w:val="TOC2"/>
            <w:tabs>
              <w:tab w:val="left" w:pos="880"/>
              <w:tab w:val="right" w:leader="dot" w:pos="9062"/>
            </w:tabs>
            <w:rPr>
              <w:rFonts w:eastAsiaTheme="minorEastAsia"/>
              <w:noProof/>
              <w:lang w:val="en-IE" w:eastAsia="en-IE"/>
            </w:rPr>
          </w:pPr>
          <w:hyperlink w:anchor="_Toc59185416" w:history="1">
            <w:r w:rsidR="0047062D" w:rsidRPr="002F4B34">
              <w:rPr>
                <w:rStyle w:val="Hyperlink"/>
                <w:noProof/>
              </w:rPr>
              <w:t>8.10</w:t>
            </w:r>
            <w:r w:rsidR="0047062D">
              <w:rPr>
                <w:rFonts w:eastAsiaTheme="minorEastAsia"/>
                <w:noProof/>
                <w:lang w:val="en-IE" w:eastAsia="en-IE"/>
              </w:rPr>
              <w:tab/>
            </w:r>
            <w:r w:rsidR="0047062D" w:rsidRPr="002F4B34">
              <w:rPr>
                <w:rStyle w:val="Hyperlink"/>
                <w:noProof/>
              </w:rPr>
              <w:t>Are manufacturers allowed to use derived products from animal by-products, such as processed manure, in EU fertilising products?</w:t>
            </w:r>
            <w:r w:rsidR="0047062D">
              <w:rPr>
                <w:noProof/>
                <w:webHidden/>
              </w:rPr>
              <w:tab/>
            </w:r>
            <w:r w:rsidR="0047062D">
              <w:rPr>
                <w:noProof/>
                <w:webHidden/>
              </w:rPr>
              <w:fldChar w:fldCharType="begin"/>
            </w:r>
            <w:r w:rsidR="0047062D">
              <w:rPr>
                <w:noProof/>
                <w:webHidden/>
              </w:rPr>
              <w:instrText xml:space="preserve"> PAGEREF _Toc59185416 \h </w:instrText>
            </w:r>
            <w:r w:rsidR="0047062D">
              <w:rPr>
                <w:noProof/>
                <w:webHidden/>
              </w:rPr>
            </w:r>
            <w:r w:rsidR="0047062D">
              <w:rPr>
                <w:noProof/>
                <w:webHidden/>
              </w:rPr>
              <w:fldChar w:fldCharType="separate"/>
            </w:r>
            <w:r w:rsidR="0047062D">
              <w:rPr>
                <w:noProof/>
                <w:webHidden/>
              </w:rPr>
              <w:t>22</w:t>
            </w:r>
            <w:r w:rsidR="0047062D">
              <w:rPr>
                <w:noProof/>
                <w:webHidden/>
              </w:rPr>
              <w:fldChar w:fldCharType="end"/>
            </w:r>
          </w:hyperlink>
        </w:p>
        <w:p w14:paraId="0DE6354E" w14:textId="4C576AD8" w:rsidR="0047062D" w:rsidRDefault="00205423">
          <w:pPr>
            <w:pStyle w:val="TOC2"/>
            <w:tabs>
              <w:tab w:val="left" w:pos="880"/>
              <w:tab w:val="right" w:leader="dot" w:pos="9062"/>
            </w:tabs>
            <w:rPr>
              <w:rFonts w:eastAsiaTheme="minorEastAsia"/>
              <w:noProof/>
              <w:lang w:val="en-IE" w:eastAsia="en-IE"/>
            </w:rPr>
          </w:pPr>
          <w:hyperlink w:anchor="_Toc59185417" w:history="1">
            <w:r w:rsidR="0047062D" w:rsidRPr="002F4B34">
              <w:rPr>
                <w:rStyle w:val="Hyperlink"/>
                <w:noProof/>
              </w:rPr>
              <w:t>8.11</w:t>
            </w:r>
            <w:r w:rsidR="0047062D">
              <w:rPr>
                <w:rFonts w:eastAsiaTheme="minorEastAsia"/>
                <w:noProof/>
                <w:lang w:val="en-IE" w:eastAsia="en-IE"/>
              </w:rPr>
              <w:tab/>
            </w:r>
            <w:r w:rsidR="0047062D" w:rsidRPr="002F4B34">
              <w:rPr>
                <w:rStyle w:val="Hyperlink"/>
                <w:noProof/>
              </w:rPr>
              <w:t>Are manufacturers allowed to use plant/plant parts grown for the production of biogas in compost or digestate other than fresh crop digestate?</w:t>
            </w:r>
            <w:r w:rsidR="0047062D">
              <w:rPr>
                <w:noProof/>
                <w:webHidden/>
              </w:rPr>
              <w:tab/>
            </w:r>
            <w:r w:rsidR="0047062D">
              <w:rPr>
                <w:noProof/>
                <w:webHidden/>
              </w:rPr>
              <w:fldChar w:fldCharType="begin"/>
            </w:r>
            <w:r w:rsidR="0047062D">
              <w:rPr>
                <w:noProof/>
                <w:webHidden/>
              </w:rPr>
              <w:instrText xml:space="preserve"> PAGEREF _Toc59185417 \h </w:instrText>
            </w:r>
            <w:r w:rsidR="0047062D">
              <w:rPr>
                <w:noProof/>
                <w:webHidden/>
              </w:rPr>
            </w:r>
            <w:r w:rsidR="0047062D">
              <w:rPr>
                <w:noProof/>
                <w:webHidden/>
              </w:rPr>
              <w:fldChar w:fldCharType="separate"/>
            </w:r>
            <w:r w:rsidR="0047062D">
              <w:rPr>
                <w:noProof/>
                <w:webHidden/>
              </w:rPr>
              <w:t>22</w:t>
            </w:r>
            <w:r w:rsidR="0047062D">
              <w:rPr>
                <w:noProof/>
                <w:webHidden/>
              </w:rPr>
              <w:fldChar w:fldCharType="end"/>
            </w:r>
          </w:hyperlink>
        </w:p>
        <w:p w14:paraId="5397B5AB" w14:textId="12DD1589" w:rsidR="0047062D" w:rsidRDefault="00205423">
          <w:pPr>
            <w:pStyle w:val="TOC1"/>
            <w:tabs>
              <w:tab w:val="left" w:pos="440"/>
            </w:tabs>
            <w:rPr>
              <w:rFonts w:eastAsiaTheme="minorEastAsia"/>
              <w:noProof/>
              <w:lang w:val="en-IE" w:eastAsia="en-IE"/>
            </w:rPr>
          </w:pPr>
          <w:hyperlink w:anchor="_Toc59185418" w:history="1">
            <w:r w:rsidR="0047062D" w:rsidRPr="002F4B34">
              <w:rPr>
                <w:rStyle w:val="Hyperlink"/>
                <w:rFonts w:ascii="Times New Roman" w:hAnsi="Times New Roman" w:cs="Times New Roman"/>
                <w:noProof/>
              </w:rPr>
              <w:t>9.</w:t>
            </w:r>
            <w:r w:rsidR="0047062D">
              <w:rPr>
                <w:rFonts w:eastAsiaTheme="minorEastAsia"/>
                <w:noProof/>
                <w:lang w:val="en-IE" w:eastAsia="en-IE"/>
              </w:rPr>
              <w:tab/>
            </w:r>
            <w:r w:rsidR="0047062D" w:rsidRPr="002F4B34">
              <w:rPr>
                <w:rStyle w:val="Hyperlink"/>
                <w:rFonts w:ascii="Times New Roman" w:hAnsi="Times New Roman" w:cs="Times New Roman"/>
                <w:noProof/>
              </w:rPr>
              <w:t>Annex III – Labelling requirements</w:t>
            </w:r>
            <w:r w:rsidR="0047062D">
              <w:rPr>
                <w:noProof/>
                <w:webHidden/>
              </w:rPr>
              <w:tab/>
            </w:r>
            <w:r w:rsidR="0047062D">
              <w:rPr>
                <w:noProof/>
                <w:webHidden/>
              </w:rPr>
              <w:fldChar w:fldCharType="begin"/>
            </w:r>
            <w:r w:rsidR="0047062D">
              <w:rPr>
                <w:noProof/>
                <w:webHidden/>
              </w:rPr>
              <w:instrText xml:space="preserve"> PAGEREF _Toc59185418 \h </w:instrText>
            </w:r>
            <w:r w:rsidR="0047062D">
              <w:rPr>
                <w:noProof/>
                <w:webHidden/>
              </w:rPr>
            </w:r>
            <w:r w:rsidR="0047062D">
              <w:rPr>
                <w:noProof/>
                <w:webHidden/>
              </w:rPr>
              <w:fldChar w:fldCharType="separate"/>
            </w:r>
            <w:r w:rsidR="0047062D">
              <w:rPr>
                <w:noProof/>
                <w:webHidden/>
              </w:rPr>
              <w:t>23</w:t>
            </w:r>
            <w:r w:rsidR="0047062D">
              <w:rPr>
                <w:noProof/>
                <w:webHidden/>
              </w:rPr>
              <w:fldChar w:fldCharType="end"/>
            </w:r>
          </w:hyperlink>
        </w:p>
        <w:p w14:paraId="7E215422" w14:textId="6BAA7AA0" w:rsidR="0047062D" w:rsidRDefault="00205423">
          <w:pPr>
            <w:pStyle w:val="TOC2"/>
            <w:tabs>
              <w:tab w:val="left" w:pos="880"/>
              <w:tab w:val="right" w:leader="dot" w:pos="9062"/>
            </w:tabs>
            <w:rPr>
              <w:rFonts w:eastAsiaTheme="minorEastAsia"/>
              <w:noProof/>
              <w:lang w:val="en-IE" w:eastAsia="en-IE"/>
            </w:rPr>
          </w:pPr>
          <w:hyperlink w:anchor="_Toc59185419" w:history="1">
            <w:r w:rsidR="0047062D" w:rsidRPr="002F4B34">
              <w:rPr>
                <w:rStyle w:val="Hyperlink"/>
                <w:noProof/>
              </w:rPr>
              <w:t>9.1</w:t>
            </w:r>
            <w:r w:rsidR="0047062D">
              <w:rPr>
                <w:rFonts w:eastAsiaTheme="minorEastAsia"/>
                <w:noProof/>
                <w:lang w:val="en-IE" w:eastAsia="en-IE"/>
              </w:rPr>
              <w:tab/>
            </w:r>
            <w:r w:rsidR="0047062D" w:rsidRPr="002F4B34">
              <w:rPr>
                <w:rStyle w:val="Hyperlink"/>
                <w:noProof/>
              </w:rPr>
              <w:t>Can a manufacturer use green or any other coloured pictogram to provide product information on the label of an EU fertilising product?</w:t>
            </w:r>
            <w:r w:rsidR="0047062D">
              <w:rPr>
                <w:noProof/>
                <w:webHidden/>
              </w:rPr>
              <w:tab/>
            </w:r>
            <w:r w:rsidR="0047062D">
              <w:rPr>
                <w:noProof/>
                <w:webHidden/>
              </w:rPr>
              <w:fldChar w:fldCharType="begin"/>
            </w:r>
            <w:r w:rsidR="0047062D">
              <w:rPr>
                <w:noProof/>
                <w:webHidden/>
              </w:rPr>
              <w:instrText xml:space="preserve"> PAGEREF _Toc59185419 \h </w:instrText>
            </w:r>
            <w:r w:rsidR="0047062D">
              <w:rPr>
                <w:noProof/>
                <w:webHidden/>
              </w:rPr>
            </w:r>
            <w:r w:rsidR="0047062D">
              <w:rPr>
                <w:noProof/>
                <w:webHidden/>
              </w:rPr>
              <w:fldChar w:fldCharType="separate"/>
            </w:r>
            <w:r w:rsidR="0047062D">
              <w:rPr>
                <w:noProof/>
                <w:webHidden/>
              </w:rPr>
              <w:t>23</w:t>
            </w:r>
            <w:r w:rsidR="0047062D">
              <w:rPr>
                <w:noProof/>
                <w:webHidden/>
              </w:rPr>
              <w:fldChar w:fldCharType="end"/>
            </w:r>
          </w:hyperlink>
        </w:p>
        <w:p w14:paraId="5FA59595" w14:textId="6DE4C6B4" w:rsidR="0047062D" w:rsidRDefault="00205423">
          <w:pPr>
            <w:pStyle w:val="TOC2"/>
            <w:tabs>
              <w:tab w:val="left" w:pos="880"/>
              <w:tab w:val="right" w:leader="dot" w:pos="9062"/>
            </w:tabs>
            <w:rPr>
              <w:rFonts w:eastAsiaTheme="minorEastAsia"/>
              <w:noProof/>
              <w:lang w:val="en-IE" w:eastAsia="en-IE"/>
            </w:rPr>
          </w:pPr>
          <w:hyperlink w:anchor="_Toc59185420" w:history="1">
            <w:r w:rsidR="0047062D" w:rsidRPr="002F4B34">
              <w:rPr>
                <w:rStyle w:val="Hyperlink"/>
                <w:noProof/>
              </w:rPr>
              <w:t>9.2</w:t>
            </w:r>
            <w:r w:rsidR="0047062D">
              <w:rPr>
                <w:rFonts w:eastAsiaTheme="minorEastAsia"/>
                <w:noProof/>
                <w:lang w:val="en-IE" w:eastAsia="en-IE"/>
              </w:rPr>
              <w:tab/>
            </w:r>
            <w:r w:rsidR="0047062D" w:rsidRPr="002F4B34">
              <w:rPr>
                <w:rStyle w:val="Hyperlink"/>
                <w:noProof/>
              </w:rPr>
              <w:t>How should a manufacturer label the nutrients content of a fertilising product blend if the content of some forms of the nutrients vary over time, like in the case of blending a growing medium with an inorganic fertiliser?</w:t>
            </w:r>
            <w:r w:rsidR="0047062D">
              <w:rPr>
                <w:noProof/>
                <w:webHidden/>
              </w:rPr>
              <w:tab/>
            </w:r>
            <w:r w:rsidR="0047062D">
              <w:rPr>
                <w:noProof/>
                <w:webHidden/>
              </w:rPr>
              <w:fldChar w:fldCharType="begin"/>
            </w:r>
            <w:r w:rsidR="0047062D">
              <w:rPr>
                <w:noProof/>
                <w:webHidden/>
              </w:rPr>
              <w:instrText xml:space="preserve"> PAGEREF _Toc59185420 \h </w:instrText>
            </w:r>
            <w:r w:rsidR="0047062D">
              <w:rPr>
                <w:noProof/>
                <w:webHidden/>
              </w:rPr>
            </w:r>
            <w:r w:rsidR="0047062D">
              <w:rPr>
                <w:noProof/>
                <w:webHidden/>
              </w:rPr>
              <w:fldChar w:fldCharType="separate"/>
            </w:r>
            <w:r w:rsidR="0047062D">
              <w:rPr>
                <w:noProof/>
                <w:webHidden/>
              </w:rPr>
              <w:t>23</w:t>
            </w:r>
            <w:r w:rsidR="0047062D">
              <w:rPr>
                <w:noProof/>
                <w:webHidden/>
              </w:rPr>
              <w:fldChar w:fldCharType="end"/>
            </w:r>
          </w:hyperlink>
        </w:p>
        <w:p w14:paraId="6E68716F" w14:textId="17DD9CA2" w:rsidR="0047062D" w:rsidRDefault="00205423">
          <w:pPr>
            <w:pStyle w:val="TOC2"/>
            <w:tabs>
              <w:tab w:val="left" w:pos="880"/>
              <w:tab w:val="right" w:leader="dot" w:pos="9062"/>
            </w:tabs>
            <w:rPr>
              <w:rFonts w:eastAsiaTheme="minorEastAsia"/>
              <w:noProof/>
              <w:lang w:val="en-IE" w:eastAsia="en-IE"/>
            </w:rPr>
          </w:pPr>
          <w:hyperlink w:anchor="_Toc59185421" w:history="1">
            <w:r w:rsidR="0047062D" w:rsidRPr="002F4B34">
              <w:rPr>
                <w:rStyle w:val="Hyperlink"/>
                <w:noProof/>
              </w:rPr>
              <w:t>9.3</w:t>
            </w:r>
            <w:r w:rsidR="0047062D">
              <w:rPr>
                <w:rFonts w:eastAsiaTheme="minorEastAsia"/>
                <w:noProof/>
                <w:lang w:val="en-IE" w:eastAsia="en-IE"/>
              </w:rPr>
              <w:tab/>
            </w:r>
            <w:r w:rsidR="0047062D" w:rsidRPr="002F4B34">
              <w:rPr>
                <w:rStyle w:val="Hyperlink"/>
                <w:noProof/>
              </w:rPr>
              <w:t>How should users be informed about the presence of materials obtained from manure in organic or organo-mineral fertilisers?</w:t>
            </w:r>
            <w:r w:rsidR="0047062D">
              <w:rPr>
                <w:noProof/>
                <w:webHidden/>
              </w:rPr>
              <w:tab/>
            </w:r>
            <w:r w:rsidR="0047062D">
              <w:rPr>
                <w:noProof/>
                <w:webHidden/>
              </w:rPr>
              <w:fldChar w:fldCharType="begin"/>
            </w:r>
            <w:r w:rsidR="0047062D">
              <w:rPr>
                <w:noProof/>
                <w:webHidden/>
              </w:rPr>
              <w:instrText xml:space="preserve"> PAGEREF _Toc59185421 \h </w:instrText>
            </w:r>
            <w:r w:rsidR="0047062D">
              <w:rPr>
                <w:noProof/>
                <w:webHidden/>
              </w:rPr>
            </w:r>
            <w:r w:rsidR="0047062D">
              <w:rPr>
                <w:noProof/>
                <w:webHidden/>
              </w:rPr>
              <w:fldChar w:fldCharType="separate"/>
            </w:r>
            <w:r w:rsidR="0047062D">
              <w:rPr>
                <w:noProof/>
                <w:webHidden/>
              </w:rPr>
              <w:t>23</w:t>
            </w:r>
            <w:r w:rsidR="0047062D">
              <w:rPr>
                <w:noProof/>
                <w:webHidden/>
              </w:rPr>
              <w:fldChar w:fldCharType="end"/>
            </w:r>
          </w:hyperlink>
        </w:p>
        <w:p w14:paraId="37D49647" w14:textId="5E0AA5B2" w:rsidR="0047062D" w:rsidRDefault="00205423">
          <w:pPr>
            <w:pStyle w:val="TOC1"/>
            <w:tabs>
              <w:tab w:val="left" w:pos="660"/>
            </w:tabs>
            <w:rPr>
              <w:rFonts w:eastAsiaTheme="minorEastAsia"/>
              <w:noProof/>
              <w:lang w:val="en-IE" w:eastAsia="en-IE"/>
            </w:rPr>
          </w:pPr>
          <w:hyperlink w:anchor="_Toc59185422" w:history="1">
            <w:r w:rsidR="0047062D" w:rsidRPr="002F4B34">
              <w:rPr>
                <w:rStyle w:val="Hyperlink"/>
                <w:rFonts w:ascii="Times New Roman" w:hAnsi="Times New Roman" w:cs="Times New Roman"/>
                <w:noProof/>
              </w:rPr>
              <w:t>10.</w:t>
            </w:r>
            <w:r w:rsidR="0047062D">
              <w:rPr>
                <w:rFonts w:eastAsiaTheme="minorEastAsia"/>
                <w:noProof/>
                <w:lang w:val="en-IE" w:eastAsia="en-IE"/>
              </w:rPr>
              <w:tab/>
            </w:r>
            <w:r w:rsidR="0047062D" w:rsidRPr="002F4B34">
              <w:rPr>
                <w:rStyle w:val="Hyperlink"/>
                <w:rFonts w:ascii="Times New Roman" w:hAnsi="Times New Roman" w:cs="Times New Roman"/>
                <w:noProof/>
              </w:rPr>
              <w:t xml:space="preserve">Annex IV - Conformity assessment </w:t>
            </w:r>
            <w:r w:rsidR="0047062D">
              <w:rPr>
                <w:noProof/>
                <w:webHidden/>
              </w:rPr>
              <w:tab/>
            </w:r>
            <w:r w:rsidR="0047062D">
              <w:rPr>
                <w:noProof/>
                <w:webHidden/>
              </w:rPr>
              <w:fldChar w:fldCharType="begin"/>
            </w:r>
            <w:r w:rsidR="0047062D">
              <w:rPr>
                <w:noProof/>
                <w:webHidden/>
              </w:rPr>
              <w:instrText xml:space="preserve"> PAGEREF _Toc59185422 \h </w:instrText>
            </w:r>
            <w:r w:rsidR="0047062D">
              <w:rPr>
                <w:noProof/>
                <w:webHidden/>
              </w:rPr>
            </w:r>
            <w:r w:rsidR="0047062D">
              <w:rPr>
                <w:noProof/>
                <w:webHidden/>
              </w:rPr>
              <w:fldChar w:fldCharType="separate"/>
            </w:r>
            <w:r w:rsidR="0047062D">
              <w:rPr>
                <w:noProof/>
                <w:webHidden/>
              </w:rPr>
              <w:t>24</w:t>
            </w:r>
            <w:r w:rsidR="0047062D">
              <w:rPr>
                <w:noProof/>
                <w:webHidden/>
              </w:rPr>
              <w:fldChar w:fldCharType="end"/>
            </w:r>
          </w:hyperlink>
        </w:p>
        <w:p w14:paraId="7195EB72" w14:textId="457D8E51" w:rsidR="0047062D" w:rsidRDefault="00205423">
          <w:pPr>
            <w:pStyle w:val="TOC2"/>
            <w:tabs>
              <w:tab w:val="left" w:pos="880"/>
              <w:tab w:val="right" w:leader="dot" w:pos="9062"/>
            </w:tabs>
            <w:rPr>
              <w:rFonts w:eastAsiaTheme="minorEastAsia"/>
              <w:noProof/>
              <w:lang w:val="en-IE" w:eastAsia="en-IE"/>
            </w:rPr>
          </w:pPr>
          <w:hyperlink w:anchor="_Toc59185423" w:history="1">
            <w:r w:rsidR="0047062D" w:rsidRPr="002F4B34">
              <w:rPr>
                <w:rStyle w:val="Hyperlink"/>
                <w:noProof/>
              </w:rPr>
              <w:t>10.1</w:t>
            </w:r>
            <w:r w:rsidR="0047062D">
              <w:rPr>
                <w:rFonts w:eastAsiaTheme="minorEastAsia"/>
                <w:noProof/>
                <w:lang w:val="en-IE" w:eastAsia="en-IE"/>
              </w:rPr>
              <w:tab/>
            </w:r>
            <w:r w:rsidR="0047062D" w:rsidRPr="002F4B34">
              <w:rPr>
                <w:rStyle w:val="Hyperlink"/>
                <w:noProof/>
              </w:rPr>
              <w:t>What conformity assessment procedure do the manufacturers have to follow?</w:t>
            </w:r>
            <w:r w:rsidR="0047062D">
              <w:rPr>
                <w:noProof/>
                <w:webHidden/>
              </w:rPr>
              <w:tab/>
            </w:r>
            <w:r w:rsidR="0047062D">
              <w:rPr>
                <w:noProof/>
                <w:webHidden/>
              </w:rPr>
              <w:fldChar w:fldCharType="begin"/>
            </w:r>
            <w:r w:rsidR="0047062D">
              <w:rPr>
                <w:noProof/>
                <w:webHidden/>
              </w:rPr>
              <w:instrText xml:space="preserve"> PAGEREF _Toc59185423 \h </w:instrText>
            </w:r>
            <w:r w:rsidR="0047062D">
              <w:rPr>
                <w:noProof/>
                <w:webHidden/>
              </w:rPr>
            </w:r>
            <w:r w:rsidR="0047062D">
              <w:rPr>
                <w:noProof/>
                <w:webHidden/>
              </w:rPr>
              <w:fldChar w:fldCharType="separate"/>
            </w:r>
            <w:r w:rsidR="0047062D">
              <w:rPr>
                <w:noProof/>
                <w:webHidden/>
              </w:rPr>
              <w:t>24</w:t>
            </w:r>
            <w:r w:rsidR="0047062D">
              <w:rPr>
                <w:noProof/>
                <w:webHidden/>
              </w:rPr>
              <w:fldChar w:fldCharType="end"/>
            </w:r>
          </w:hyperlink>
        </w:p>
        <w:p w14:paraId="1F766376" w14:textId="3004ACD4" w:rsidR="0047062D" w:rsidRDefault="00205423">
          <w:pPr>
            <w:pStyle w:val="TOC2"/>
            <w:tabs>
              <w:tab w:val="left" w:pos="880"/>
              <w:tab w:val="right" w:leader="dot" w:pos="9062"/>
            </w:tabs>
            <w:rPr>
              <w:rFonts w:eastAsiaTheme="minorEastAsia"/>
              <w:noProof/>
              <w:lang w:val="en-IE" w:eastAsia="en-IE"/>
            </w:rPr>
          </w:pPr>
          <w:hyperlink w:anchor="_Toc59185424" w:history="1">
            <w:r w:rsidR="0047062D" w:rsidRPr="002F4B34">
              <w:rPr>
                <w:rStyle w:val="Hyperlink"/>
                <w:noProof/>
              </w:rPr>
              <w:t>10.2</w:t>
            </w:r>
            <w:r w:rsidR="0047062D">
              <w:rPr>
                <w:rFonts w:eastAsiaTheme="minorEastAsia"/>
                <w:noProof/>
                <w:lang w:val="en-IE" w:eastAsia="en-IE"/>
              </w:rPr>
              <w:tab/>
            </w:r>
            <w:r w:rsidR="0047062D" w:rsidRPr="002F4B34">
              <w:rPr>
                <w:rStyle w:val="Hyperlink"/>
                <w:noProof/>
              </w:rPr>
              <w:t>Can conformity assessment be done even if harmonised standards are not adopted?</w:t>
            </w:r>
            <w:r w:rsidR="0047062D">
              <w:rPr>
                <w:noProof/>
                <w:webHidden/>
              </w:rPr>
              <w:tab/>
            </w:r>
            <w:r w:rsidR="0047062D">
              <w:rPr>
                <w:noProof/>
                <w:webHidden/>
              </w:rPr>
              <w:fldChar w:fldCharType="begin"/>
            </w:r>
            <w:r w:rsidR="0047062D">
              <w:rPr>
                <w:noProof/>
                <w:webHidden/>
              </w:rPr>
              <w:instrText xml:space="preserve"> PAGEREF _Toc59185424 \h </w:instrText>
            </w:r>
            <w:r w:rsidR="0047062D">
              <w:rPr>
                <w:noProof/>
                <w:webHidden/>
              </w:rPr>
            </w:r>
            <w:r w:rsidR="0047062D">
              <w:rPr>
                <w:noProof/>
                <w:webHidden/>
              </w:rPr>
              <w:fldChar w:fldCharType="separate"/>
            </w:r>
            <w:r w:rsidR="0047062D">
              <w:rPr>
                <w:noProof/>
                <w:webHidden/>
              </w:rPr>
              <w:t>25</w:t>
            </w:r>
            <w:r w:rsidR="0047062D">
              <w:rPr>
                <w:noProof/>
                <w:webHidden/>
              </w:rPr>
              <w:fldChar w:fldCharType="end"/>
            </w:r>
          </w:hyperlink>
        </w:p>
        <w:p w14:paraId="1BD260D7" w14:textId="647DCDA7" w:rsidR="0047062D" w:rsidRDefault="00205423">
          <w:pPr>
            <w:pStyle w:val="TOC2"/>
            <w:tabs>
              <w:tab w:val="left" w:pos="880"/>
              <w:tab w:val="right" w:leader="dot" w:pos="9062"/>
            </w:tabs>
            <w:rPr>
              <w:rFonts w:eastAsiaTheme="minorEastAsia"/>
              <w:noProof/>
              <w:lang w:val="en-IE" w:eastAsia="en-IE"/>
            </w:rPr>
          </w:pPr>
          <w:hyperlink w:anchor="_Toc59185425" w:history="1">
            <w:r w:rsidR="0047062D" w:rsidRPr="002F4B34">
              <w:rPr>
                <w:rStyle w:val="Hyperlink"/>
                <w:noProof/>
              </w:rPr>
              <w:t>10.3</w:t>
            </w:r>
            <w:r w:rsidR="0047062D">
              <w:rPr>
                <w:rFonts w:eastAsiaTheme="minorEastAsia"/>
                <w:noProof/>
                <w:lang w:val="en-IE" w:eastAsia="en-IE"/>
              </w:rPr>
              <w:tab/>
            </w:r>
            <w:r w:rsidR="0047062D" w:rsidRPr="002F4B34">
              <w:rPr>
                <w:rStyle w:val="Hyperlink"/>
                <w:noProof/>
              </w:rPr>
              <w:t>If a manufacturer subcontracts certain parts of the production process to other company, using the original production process of the manufacturer, is it necessary to do a different conformity assessment?</w:t>
            </w:r>
            <w:r w:rsidR="0047062D">
              <w:rPr>
                <w:noProof/>
                <w:webHidden/>
              </w:rPr>
              <w:tab/>
            </w:r>
            <w:r w:rsidR="0047062D">
              <w:rPr>
                <w:noProof/>
                <w:webHidden/>
              </w:rPr>
              <w:fldChar w:fldCharType="begin"/>
            </w:r>
            <w:r w:rsidR="0047062D">
              <w:rPr>
                <w:noProof/>
                <w:webHidden/>
              </w:rPr>
              <w:instrText xml:space="preserve"> PAGEREF _Toc59185425 \h </w:instrText>
            </w:r>
            <w:r w:rsidR="0047062D">
              <w:rPr>
                <w:noProof/>
                <w:webHidden/>
              </w:rPr>
            </w:r>
            <w:r w:rsidR="0047062D">
              <w:rPr>
                <w:noProof/>
                <w:webHidden/>
              </w:rPr>
              <w:fldChar w:fldCharType="separate"/>
            </w:r>
            <w:r w:rsidR="0047062D">
              <w:rPr>
                <w:noProof/>
                <w:webHidden/>
              </w:rPr>
              <w:t>25</w:t>
            </w:r>
            <w:r w:rsidR="0047062D">
              <w:rPr>
                <w:noProof/>
                <w:webHidden/>
              </w:rPr>
              <w:fldChar w:fldCharType="end"/>
            </w:r>
          </w:hyperlink>
        </w:p>
        <w:p w14:paraId="70D9C9B5" w14:textId="31884B5D" w:rsidR="0047062D" w:rsidRDefault="00205423">
          <w:pPr>
            <w:pStyle w:val="TOC2"/>
            <w:tabs>
              <w:tab w:val="left" w:pos="880"/>
              <w:tab w:val="right" w:leader="dot" w:pos="9062"/>
            </w:tabs>
            <w:rPr>
              <w:rFonts w:eastAsiaTheme="minorEastAsia"/>
              <w:noProof/>
              <w:lang w:val="en-IE" w:eastAsia="en-IE"/>
            </w:rPr>
          </w:pPr>
          <w:hyperlink w:anchor="_Toc59185426" w:history="1">
            <w:r w:rsidR="0047062D" w:rsidRPr="002F4B34">
              <w:rPr>
                <w:rStyle w:val="Hyperlink"/>
                <w:noProof/>
              </w:rPr>
              <w:t>10.4</w:t>
            </w:r>
            <w:r w:rsidR="0047062D">
              <w:rPr>
                <w:rFonts w:eastAsiaTheme="minorEastAsia"/>
                <w:noProof/>
                <w:lang w:val="en-IE" w:eastAsia="en-IE"/>
              </w:rPr>
              <w:tab/>
            </w:r>
            <w:r w:rsidR="0047062D" w:rsidRPr="002F4B34">
              <w:rPr>
                <w:rStyle w:val="Hyperlink"/>
                <w:noProof/>
              </w:rPr>
              <w:t>Who performs the conformity assessment in case the product is produced by a manufacturer from a third country and imported in the EU?</w:t>
            </w:r>
            <w:r w:rsidR="0047062D">
              <w:rPr>
                <w:noProof/>
                <w:webHidden/>
              </w:rPr>
              <w:tab/>
            </w:r>
            <w:r w:rsidR="0047062D">
              <w:rPr>
                <w:noProof/>
                <w:webHidden/>
              </w:rPr>
              <w:fldChar w:fldCharType="begin"/>
            </w:r>
            <w:r w:rsidR="0047062D">
              <w:rPr>
                <w:noProof/>
                <w:webHidden/>
              </w:rPr>
              <w:instrText xml:space="preserve"> PAGEREF _Toc59185426 \h </w:instrText>
            </w:r>
            <w:r w:rsidR="0047062D">
              <w:rPr>
                <w:noProof/>
                <w:webHidden/>
              </w:rPr>
            </w:r>
            <w:r w:rsidR="0047062D">
              <w:rPr>
                <w:noProof/>
                <w:webHidden/>
              </w:rPr>
              <w:fldChar w:fldCharType="separate"/>
            </w:r>
            <w:r w:rsidR="0047062D">
              <w:rPr>
                <w:noProof/>
                <w:webHidden/>
              </w:rPr>
              <w:t>26</w:t>
            </w:r>
            <w:r w:rsidR="0047062D">
              <w:rPr>
                <w:noProof/>
                <w:webHidden/>
              </w:rPr>
              <w:fldChar w:fldCharType="end"/>
            </w:r>
          </w:hyperlink>
        </w:p>
        <w:p w14:paraId="6E1C0808" w14:textId="4EBEA91F" w:rsidR="0047062D" w:rsidRDefault="00205423">
          <w:pPr>
            <w:pStyle w:val="TOC2"/>
            <w:tabs>
              <w:tab w:val="left" w:pos="880"/>
              <w:tab w:val="right" w:leader="dot" w:pos="9062"/>
            </w:tabs>
            <w:rPr>
              <w:rFonts w:eastAsiaTheme="minorEastAsia"/>
              <w:noProof/>
              <w:lang w:val="en-IE" w:eastAsia="en-IE"/>
            </w:rPr>
          </w:pPr>
          <w:hyperlink w:anchor="_Toc59185427" w:history="1">
            <w:r w:rsidR="0047062D" w:rsidRPr="002F4B34">
              <w:rPr>
                <w:rStyle w:val="Hyperlink"/>
                <w:noProof/>
              </w:rPr>
              <w:t>10.5</w:t>
            </w:r>
            <w:r w:rsidR="0047062D">
              <w:rPr>
                <w:rFonts w:eastAsiaTheme="minorEastAsia"/>
                <w:noProof/>
                <w:lang w:val="en-IE" w:eastAsia="en-IE"/>
              </w:rPr>
              <w:tab/>
            </w:r>
            <w:r w:rsidR="0047062D" w:rsidRPr="002F4B34">
              <w:rPr>
                <w:rStyle w:val="Hyperlink"/>
                <w:noProof/>
              </w:rPr>
              <w:t>What is expected by ‘adequate analysis and assessment of the risk(s) to be included in the technical documentation’?</w:t>
            </w:r>
            <w:r w:rsidR="0047062D">
              <w:rPr>
                <w:noProof/>
                <w:webHidden/>
              </w:rPr>
              <w:tab/>
            </w:r>
            <w:r w:rsidR="0047062D">
              <w:rPr>
                <w:noProof/>
                <w:webHidden/>
              </w:rPr>
              <w:fldChar w:fldCharType="begin"/>
            </w:r>
            <w:r w:rsidR="0047062D">
              <w:rPr>
                <w:noProof/>
                <w:webHidden/>
              </w:rPr>
              <w:instrText xml:space="preserve"> PAGEREF _Toc59185427 \h </w:instrText>
            </w:r>
            <w:r w:rsidR="0047062D">
              <w:rPr>
                <w:noProof/>
                <w:webHidden/>
              </w:rPr>
            </w:r>
            <w:r w:rsidR="0047062D">
              <w:rPr>
                <w:noProof/>
                <w:webHidden/>
              </w:rPr>
              <w:fldChar w:fldCharType="separate"/>
            </w:r>
            <w:r w:rsidR="0047062D">
              <w:rPr>
                <w:noProof/>
                <w:webHidden/>
              </w:rPr>
              <w:t>26</w:t>
            </w:r>
            <w:r w:rsidR="0047062D">
              <w:rPr>
                <w:noProof/>
                <w:webHidden/>
              </w:rPr>
              <w:fldChar w:fldCharType="end"/>
            </w:r>
          </w:hyperlink>
        </w:p>
        <w:p w14:paraId="446D0EAC" w14:textId="5E0AECFB" w:rsidR="0047062D" w:rsidRDefault="00205423">
          <w:pPr>
            <w:pStyle w:val="TOC2"/>
            <w:tabs>
              <w:tab w:val="left" w:pos="880"/>
              <w:tab w:val="right" w:leader="dot" w:pos="9062"/>
            </w:tabs>
            <w:rPr>
              <w:rFonts w:eastAsiaTheme="minorEastAsia"/>
              <w:noProof/>
              <w:lang w:val="en-IE" w:eastAsia="en-IE"/>
            </w:rPr>
          </w:pPr>
          <w:hyperlink w:anchor="_Toc59185428" w:history="1">
            <w:r w:rsidR="0047062D" w:rsidRPr="002F4B34">
              <w:rPr>
                <w:rStyle w:val="Hyperlink"/>
                <w:noProof/>
              </w:rPr>
              <w:t>10.6</w:t>
            </w:r>
            <w:r w:rsidR="0047062D">
              <w:rPr>
                <w:rFonts w:eastAsiaTheme="minorEastAsia"/>
                <w:noProof/>
                <w:lang w:val="en-IE" w:eastAsia="en-IE"/>
              </w:rPr>
              <w:tab/>
            </w:r>
            <w:r w:rsidR="0047062D" w:rsidRPr="002F4B34">
              <w:rPr>
                <w:rStyle w:val="Hyperlink"/>
                <w:noProof/>
              </w:rPr>
              <w:t>Does technical documentation have to be physically available for the inspection, or can it be accessible through digital means?</w:t>
            </w:r>
            <w:r w:rsidR="0047062D">
              <w:rPr>
                <w:noProof/>
                <w:webHidden/>
              </w:rPr>
              <w:tab/>
            </w:r>
            <w:r w:rsidR="0047062D">
              <w:rPr>
                <w:noProof/>
                <w:webHidden/>
              </w:rPr>
              <w:fldChar w:fldCharType="begin"/>
            </w:r>
            <w:r w:rsidR="0047062D">
              <w:rPr>
                <w:noProof/>
                <w:webHidden/>
              </w:rPr>
              <w:instrText xml:space="preserve"> PAGEREF _Toc59185428 \h </w:instrText>
            </w:r>
            <w:r w:rsidR="0047062D">
              <w:rPr>
                <w:noProof/>
                <w:webHidden/>
              </w:rPr>
            </w:r>
            <w:r w:rsidR="0047062D">
              <w:rPr>
                <w:noProof/>
                <w:webHidden/>
              </w:rPr>
              <w:fldChar w:fldCharType="separate"/>
            </w:r>
            <w:r w:rsidR="0047062D">
              <w:rPr>
                <w:noProof/>
                <w:webHidden/>
              </w:rPr>
              <w:t>26</w:t>
            </w:r>
            <w:r w:rsidR="0047062D">
              <w:rPr>
                <w:noProof/>
                <w:webHidden/>
              </w:rPr>
              <w:fldChar w:fldCharType="end"/>
            </w:r>
          </w:hyperlink>
        </w:p>
        <w:p w14:paraId="26D8A863" w14:textId="544091B3" w:rsidR="0047062D" w:rsidRDefault="00205423">
          <w:pPr>
            <w:pStyle w:val="TOC2"/>
            <w:tabs>
              <w:tab w:val="left" w:pos="880"/>
              <w:tab w:val="right" w:leader="dot" w:pos="9062"/>
            </w:tabs>
            <w:rPr>
              <w:rFonts w:eastAsiaTheme="minorEastAsia"/>
              <w:noProof/>
              <w:lang w:val="en-IE" w:eastAsia="en-IE"/>
            </w:rPr>
          </w:pPr>
          <w:hyperlink w:anchor="_Toc59185429" w:history="1">
            <w:r w:rsidR="0047062D" w:rsidRPr="002F4B34">
              <w:rPr>
                <w:rStyle w:val="Hyperlink"/>
                <w:noProof/>
              </w:rPr>
              <w:t>10.7</w:t>
            </w:r>
            <w:r w:rsidR="0047062D">
              <w:rPr>
                <w:rFonts w:eastAsiaTheme="minorEastAsia"/>
                <w:noProof/>
                <w:lang w:val="en-IE" w:eastAsia="en-IE"/>
              </w:rPr>
              <w:tab/>
            </w:r>
            <w:r w:rsidR="0047062D" w:rsidRPr="002F4B34">
              <w:rPr>
                <w:rStyle w:val="Hyperlink"/>
                <w:noProof/>
              </w:rPr>
              <w:t>What does ‘Modules B + C’ mean?</w:t>
            </w:r>
            <w:r w:rsidR="0047062D">
              <w:rPr>
                <w:noProof/>
                <w:webHidden/>
              </w:rPr>
              <w:tab/>
            </w:r>
            <w:r w:rsidR="0047062D">
              <w:rPr>
                <w:noProof/>
                <w:webHidden/>
              </w:rPr>
              <w:fldChar w:fldCharType="begin"/>
            </w:r>
            <w:r w:rsidR="0047062D">
              <w:rPr>
                <w:noProof/>
                <w:webHidden/>
              </w:rPr>
              <w:instrText xml:space="preserve"> PAGEREF _Toc59185429 \h </w:instrText>
            </w:r>
            <w:r w:rsidR="0047062D">
              <w:rPr>
                <w:noProof/>
                <w:webHidden/>
              </w:rPr>
            </w:r>
            <w:r w:rsidR="0047062D">
              <w:rPr>
                <w:noProof/>
                <w:webHidden/>
              </w:rPr>
              <w:fldChar w:fldCharType="separate"/>
            </w:r>
            <w:r w:rsidR="0047062D">
              <w:rPr>
                <w:noProof/>
                <w:webHidden/>
              </w:rPr>
              <w:t>26</w:t>
            </w:r>
            <w:r w:rsidR="0047062D">
              <w:rPr>
                <w:noProof/>
                <w:webHidden/>
              </w:rPr>
              <w:fldChar w:fldCharType="end"/>
            </w:r>
          </w:hyperlink>
        </w:p>
        <w:p w14:paraId="60C0B7E1" w14:textId="71A2FAB4" w:rsidR="0047062D" w:rsidRDefault="00205423">
          <w:pPr>
            <w:pStyle w:val="TOC2"/>
            <w:tabs>
              <w:tab w:val="left" w:pos="880"/>
              <w:tab w:val="right" w:leader="dot" w:pos="9062"/>
            </w:tabs>
            <w:rPr>
              <w:rFonts w:eastAsiaTheme="minorEastAsia"/>
              <w:noProof/>
              <w:lang w:val="en-IE" w:eastAsia="en-IE"/>
            </w:rPr>
          </w:pPr>
          <w:hyperlink w:anchor="_Toc59185430" w:history="1">
            <w:r w:rsidR="0047062D" w:rsidRPr="002F4B34">
              <w:rPr>
                <w:rStyle w:val="Hyperlink"/>
                <w:noProof/>
              </w:rPr>
              <w:t>10.8</w:t>
            </w:r>
            <w:r w:rsidR="0047062D">
              <w:rPr>
                <w:rFonts w:eastAsiaTheme="minorEastAsia"/>
                <w:noProof/>
                <w:lang w:val="en-IE" w:eastAsia="en-IE"/>
              </w:rPr>
              <w:tab/>
            </w:r>
            <w:r w:rsidR="0047062D" w:rsidRPr="002F4B34">
              <w:rPr>
                <w:rStyle w:val="Hyperlink"/>
                <w:noProof/>
              </w:rPr>
              <w:t>What is an EU-type certificate issued by a notified body and what is its expiry date?</w:t>
            </w:r>
            <w:r w:rsidR="0047062D">
              <w:rPr>
                <w:noProof/>
                <w:webHidden/>
              </w:rPr>
              <w:tab/>
            </w:r>
            <w:r w:rsidR="0047062D">
              <w:rPr>
                <w:noProof/>
                <w:webHidden/>
              </w:rPr>
              <w:fldChar w:fldCharType="begin"/>
            </w:r>
            <w:r w:rsidR="0047062D">
              <w:rPr>
                <w:noProof/>
                <w:webHidden/>
              </w:rPr>
              <w:instrText xml:space="preserve"> PAGEREF _Toc59185430 \h </w:instrText>
            </w:r>
            <w:r w:rsidR="0047062D">
              <w:rPr>
                <w:noProof/>
                <w:webHidden/>
              </w:rPr>
            </w:r>
            <w:r w:rsidR="0047062D">
              <w:rPr>
                <w:noProof/>
                <w:webHidden/>
              </w:rPr>
              <w:fldChar w:fldCharType="separate"/>
            </w:r>
            <w:r w:rsidR="0047062D">
              <w:rPr>
                <w:noProof/>
                <w:webHidden/>
              </w:rPr>
              <w:t>27</w:t>
            </w:r>
            <w:r w:rsidR="0047062D">
              <w:rPr>
                <w:noProof/>
                <w:webHidden/>
              </w:rPr>
              <w:fldChar w:fldCharType="end"/>
            </w:r>
          </w:hyperlink>
        </w:p>
        <w:p w14:paraId="5C5B0B61" w14:textId="4E21414D" w:rsidR="0047062D" w:rsidRDefault="00205423">
          <w:pPr>
            <w:pStyle w:val="TOC2"/>
            <w:tabs>
              <w:tab w:val="left" w:pos="880"/>
              <w:tab w:val="right" w:leader="dot" w:pos="9062"/>
            </w:tabs>
            <w:rPr>
              <w:rFonts w:eastAsiaTheme="minorEastAsia"/>
              <w:noProof/>
              <w:lang w:val="en-IE" w:eastAsia="en-IE"/>
            </w:rPr>
          </w:pPr>
          <w:hyperlink w:anchor="_Toc59185431" w:history="1">
            <w:r w:rsidR="0047062D" w:rsidRPr="002F4B34">
              <w:rPr>
                <w:rStyle w:val="Hyperlink"/>
                <w:noProof/>
              </w:rPr>
              <w:t>10.9</w:t>
            </w:r>
            <w:r w:rsidR="0047062D">
              <w:rPr>
                <w:rFonts w:eastAsiaTheme="minorEastAsia"/>
                <w:noProof/>
                <w:lang w:val="en-IE" w:eastAsia="en-IE"/>
              </w:rPr>
              <w:tab/>
            </w:r>
            <w:r w:rsidR="0047062D" w:rsidRPr="002F4B34">
              <w:rPr>
                <w:rStyle w:val="Hyperlink"/>
                <w:noProof/>
              </w:rPr>
              <w:t>For ammonium nitrate fertilisers of high nitrogen content, does the manufacturer or the notified body perform the detonation resistance test and the oil retention test?</w:t>
            </w:r>
            <w:r w:rsidR="0047062D">
              <w:rPr>
                <w:noProof/>
                <w:webHidden/>
              </w:rPr>
              <w:tab/>
            </w:r>
            <w:r w:rsidR="0047062D">
              <w:rPr>
                <w:noProof/>
                <w:webHidden/>
              </w:rPr>
              <w:fldChar w:fldCharType="begin"/>
            </w:r>
            <w:r w:rsidR="0047062D">
              <w:rPr>
                <w:noProof/>
                <w:webHidden/>
              </w:rPr>
              <w:instrText xml:space="preserve"> PAGEREF _Toc59185431 \h </w:instrText>
            </w:r>
            <w:r w:rsidR="0047062D">
              <w:rPr>
                <w:noProof/>
                <w:webHidden/>
              </w:rPr>
            </w:r>
            <w:r w:rsidR="0047062D">
              <w:rPr>
                <w:noProof/>
                <w:webHidden/>
              </w:rPr>
              <w:fldChar w:fldCharType="separate"/>
            </w:r>
            <w:r w:rsidR="0047062D">
              <w:rPr>
                <w:noProof/>
                <w:webHidden/>
              </w:rPr>
              <w:t>27</w:t>
            </w:r>
            <w:r w:rsidR="0047062D">
              <w:rPr>
                <w:noProof/>
                <w:webHidden/>
              </w:rPr>
              <w:fldChar w:fldCharType="end"/>
            </w:r>
          </w:hyperlink>
        </w:p>
        <w:p w14:paraId="2BD05D82" w14:textId="17293C58" w:rsidR="0047062D" w:rsidRDefault="00205423">
          <w:pPr>
            <w:pStyle w:val="TOC2"/>
            <w:tabs>
              <w:tab w:val="left" w:pos="1100"/>
              <w:tab w:val="right" w:leader="dot" w:pos="9062"/>
            </w:tabs>
            <w:rPr>
              <w:rFonts w:eastAsiaTheme="minorEastAsia"/>
              <w:noProof/>
              <w:lang w:val="en-IE" w:eastAsia="en-IE"/>
            </w:rPr>
          </w:pPr>
          <w:hyperlink w:anchor="_Toc59185432" w:history="1">
            <w:r w:rsidR="0047062D" w:rsidRPr="002F4B34">
              <w:rPr>
                <w:rStyle w:val="Hyperlink"/>
                <w:noProof/>
              </w:rPr>
              <w:t>10.10</w:t>
            </w:r>
            <w:r w:rsidR="0047062D">
              <w:rPr>
                <w:rFonts w:eastAsiaTheme="minorEastAsia"/>
                <w:noProof/>
                <w:lang w:val="en-IE" w:eastAsia="en-IE"/>
              </w:rPr>
              <w:tab/>
            </w:r>
            <w:r w:rsidR="0047062D" w:rsidRPr="002F4B34">
              <w:rPr>
                <w:rStyle w:val="Hyperlink"/>
                <w:noProof/>
              </w:rPr>
              <w:t>Can national authorities require that Module D1 is used for a fertilising product that only requires Module A, e.g., an organic fertiliser?</w:t>
            </w:r>
            <w:r w:rsidR="0047062D">
              <w:rPr>
                <w:noProof/>
                <w:webHidden/>
              </w:rPr>
              <w:tab/>
            </w:r>
            <w:r w:rsidR="0047062D">
              <w:rPr>
                <w:noProof/>
                <w:webHidden/>
              </w:rPr>
              <w:fldChar w:fldCharType="begin"/>
            </w:r>
            <w:r w:rsidR="0047062D">
              <w:rPr>
                <w:noProof/>
                <w:webHidden/>
              </w:rPr>
              <w:instrText xml:space="preserve"> PAGEREF _Toc59185432 \h </w:instrText>
            </w:r>
            <w:r w:rsidR="0047062D">
              <w:rPr>
                <w:noProof/>
                <w:webHidden/>
              </w:rPr>
            </w:r>
            <w:r w:rsidR="0047062D">
              <w:rPr>
                <w:noProof/>
                <w:webHidden/>
              </w:rPr>
              <w:fldChar w:fldCharType="separate"/>
            </w:r>
            <w:r w:rsidR="0047062D">
              <w:rPr>
                <w:noProof/>
                <w:webHidden/>
              </w:rPr>
              <w:t>27</w:t>
            </w:r>
            <w:r w:rsidR="0047062D">
              <w:rPr>
                <w:noProof/>
                <w:webHidden/>
              </w:rPr>
              <w:fldChar w:fldCharType="end"/>
            </w:r>
          </w:hyperlink>
        </w:p>
        <w:p w14:paraId="25DDB184" w14:textId="5D8F0F99" w:rsidR="00AE2609" w:rsidRPr="00F87467" w:rsidRDefault="00AE2609" w:rsidP="00F87467">
          <w:pPr>
            <w:tabs>
              <w:tab w:val="right" w:pos="9072"/>
            </w:tabs>
            <w:spacing w:before="60" w:after="60"/>
            <w:jc w:val="both"/>
            <w:rPr>
              <w:rFonts w:ascii="Times New Roman" w:hAnsi="Times New Roman" w:cs="Times New Roman"/>
              <w:sz w:val="24"/>
              <w:szCs w:val="24"/>
            </w:rPr>
          </w:pPr>
          <w:r w:rsidRPr="00F87467">
            <w:rPr>
              <w:rFonts w:ascii="Times New Roman" w:hAnsi="Times New Roman" w:cs="Times New Roman"/>
              <w:b/>
              <w:bCs/>
              <w:noProof/>
              <w:sz w:val="24"/>
              <w:szCs w:val="24"/>
            </w:rPr>
            <w:fldChar w:fldCharType="end"/>
          </w:r>
        </w:p>
      </w:sdtContent>
    </w:sdt>
    <w:p w14:paraId="0C67C01D" w14:textId="77777777" w:rsidR="00984AE2" w:rsidRPr="00F87467" w:rsidRDefault="00984AE2" w:rsidP="00F87467">
      <w:pPr>
        <w:spacing w:before="60" w:after="60"/>
        <w:jc w:val="both"/>
        <w:rPr>
          <w:rFonts w:ascii="Times New Roman" w:eastAsiaTheme="majorEastAsia" w:hAnsi="Times New Roman" w:cs="Times New Roman"/>
          <w:color w:val="365F91" w:themeColor="accent1" w:themeShade="BF"/>
          <w:sz w:val="24"/>
          <w:szCs w:val="24"/>
        </w:rPr>
      </w:pPr>
      <w:r w:rsidRPr="00F87467">
        <w:rPr>
          <w:rFonts w:ascii="Times New Roman" w:hAnsi="Times New Roman" w:cs="Times New Roman"/>
          <w:sz w:val="24"/>
          <w:szCs w:val="24"/>
        </w:rPr>
        <w:br w:type="page"/>
      </w:r>
    </w:p>
    <w:p w14:paraId="3D18B8C7" w14:textId="77261E5D" w:rsidR="00407F81" w:rsidRPr="00F87467" w:rsidRDefault="00407F81" w:rsidP="00F87467">
      <w:pPr>
        <w:pStyle w:val="Heading1"/>
        <w:spacing w:before="60" w:after="60"/>
        <w:jc w:val="both"/>
        <w:rPr>
          <w:rFonts w:ascii="Times New Roman" w:hAnsi="Times New Roman" w:cs="Times New Roman"/>
          <w:sz w:val="24"/>
          <w:szCs w:val="24"/>
        </w:rPr>
      </w:pPr>
      <w:bookmarkStart w:id="0" w:name="_Toc59185365"/>
      <w:r w:rsidRPr="00F87467">
        <w:rPr>
          <w:rFonts w:ascii="Times New Roman" w:hAnsi="Times New Roman" w:cs="Times New Roman"/>
          <w:sz w:val="24"/>
          <w:szCs w:val="24"/>
        </w:rPr>
        <w:lastRenderedPageBreak/>
        <w:t>Abbreviations:</w:t>
      </w:r>
      <w:bookmarkEnd w:id="0"/>
    </w:p>
    <w:p w14:paraId="05008AE2" w14:textId="39E8ABD1" w:rsidR="001041E0" w:rsidRDefault="00205423" w:rsidP="00F87467">
      <w:pPr>
        <w:spacing w:before="60" w:after="60"/>
        <w:ind w:left="720" w:hanging="720"/>
        <w:jc w:val="both"/>
        <w:rPr>
          <w:rFonts w:ascii="Times New Roman" w:hAnsi="Times New Roman" w:cs="Times New Roman"/>
          <w:sz w:val="24"/>
          <w:szCs w:val="24"/>
        </w:rPr>
      </w:pPr>
      <w:hyperlink r:id="rId11" w:history="1">
        <w:r w:rsidR="00407F81" w:rsidRPr="001041E0">
          <w:rPr>
            <w:rStyle w:val="Hyperlink"/>
            <w:rFonts w:ascii="Times New Roman" w:hAnsi="Times New Roman" w:cs="Times New Roman"/>
            <w:sz w:val="24"/>
            <w:szCs w:val="24"/>
          </w:rPr>
          <w:t>ABPR</w:t>
        </w:r>
      </w:hyperlink>
      <w:r w:rsidR="00814841">
        <w:rPr>
          <w:rFonts w:ascii="Times New Roman" w:hAnsi="Times New Roman" w:cs="Times New Roman"/>
          <w:sz w:val="24"/>
          <w:szCs w:val="24"/>
        </w:rPr>
        <w:tab/>
      </w:r>
      <w:r w:rsidR="009F2F38" w:rsidRPr="001041E0">
        <w:rPr>
          <w:rFonts w:ascii="Times New Roman" w:hAnsi="Times New Roman" w:cs="Times New Roman"/>
          <w:sz w:val="24"/>
          <w:szCs w:val="24"/>
        </w:rPr>
        <w:t>Animal By-Products Regulation</w:t>
      </w:r>
      <w:r w:rsidR="009F2F38" w:rsidRPr="00F87467">
        <w:rPr>
          <w:rFonts w:ascii="Times New Roman" w:hAnsi="Times New Roman" w:cs="Times New Roman"/>
          <w:sz w:val="24"/>
          <w:szCs w:val="24"/>
        </w:rPr>
        <w:t xml:space="preserve"> - Regulation (EC) No 1069/2009 of the European Parliament and of the Council of 21 October 2009 laying down health rules as regards animal by-products and derived products not intended for human consumption and repealing Regulation (EC) No 1774/2002, OJ L 300, 14.11.2009, p. 1–33</w:t>
      </w:r>
    </w:p>
    <w:p w14:paraId="38B0826D" w14:textId="121A41F6" w:rsidR="001041E0" w:rsidRDefault="001041E0" w:rsidP="001041E0">
      <w:pPr>
        <w:spacing w:before="60" w:after="60"/>
        <w:ind w:left="720" w:hanging="720"/>
        <w:jc w:val="both"/>
        <w:rPr>
          <w:rFonts w:ascii="Times New Roman" w:hAnsi="Times New Roman" w:cs="Times New Roman"/>
          <w:sz w:val="24"/>
          <w:szCs w:val="24"/>
        </w:rPr>
      </w:pPr>
      <w:r>
        <w:rPr>
          <w:rFonts w:ascii="Times New Roman" w:hAnsi="Times New Roman" w:cs="Times New Roman"/>
          <w:sz w:val="24"/>
          <w:szCs w:val="24"/>
        </w:rPr>
        <w:t xml:space="preserve">CMC </w:t>
      </w:r>
      <w:r>
        <w:rPr>
          <w:rFonts w:ascii="Times New Roman" w:hAnsi="Times New Roman" w:cs="Times New Roman"/>
          <w:sz w:val="24"/>
          <w:szCs w:val="24"/>
        </w:rPr>
        <w:tab/>
      </w:r>
      <w:r w:rsidRPr="00F87467">
        <w:rPr>
          <w:rFonts w:ascii="Times New Roman" w:hAnsi="Times New Roman" w:cs="Times New Roman"/>
          <w:sz w:val="24"/>
          <w:szCs w:val="24"/>
        </w:rPr>
        <w:t>Component Material Category (see Annex II to the FPR).</w:t>
      </w:r>
    </w:p>
    <w:p w14:paraId="313297E9" w14:textId="62983B7C" w:rsidR="001041E0" w:rsidRDefault="00205423" w:rsidP="001041E0">
      <w:pPr>
        <w:spacing w:before="60" w:after="60"/>
        <w:ind w:left="720" w:hanging="720"/>
        <w:jc w:val="both"/>
        <w:rPr>
          <w:rFonts w:ascii="Times New Roman" w:hAnsi="Times New Roman" w:cs="Times New Roman"/>
          <w:sz w:val="24"/>
          <w:szCs w:val="24"/>
        </w:rPr>
      </w:pPr>
      <w:hyperlink r:id="rId12" w:history="1">
        <w:r w:rsidR="001041E0" w:rsidRPr="001041E0">
          <w:rPr>
            <w:rStyle w:val="Hyperlink"/>
            <w:rFonts w:ascii="Times New Roman" w:hAnsi="Times New Roman" w:cs="Times New Roman"/>
            <w:sz w:val="24"/>
            <w:szCs w:val="24"/>
          </w:rPr>
          <w:t>FPR</w:t>
        </w:r>
      </w:hyperlink>
      <w:r w:rsidR="001041E0">
        <w:rPr>
          <w:rFonts w:ascii="Times New Roman" w:hAnsi="Times New Roman" w:cs="Times New Roman"/>
          <w:sz w:val="24"/>
          <w:szCs w:val="24"/>
        </w:rPr>
        <w:t xml:space="preserve"> </w:t>
      </w:r>
      <w:r w:rsidR="001041E0">
        <w:rPr>
          <w:rFonts w:ascii="Times New Roman" w:hAnsi="Times New Roman" w:cs="Times New Roman"/>
          <w:sz w:val="24"/>
          <w:szCs w:val="24"/>
        </w:rPr>
        <w:tab/>
      </w:r>
      <w:r w:rsidR="001041E0" w:rsidRPr="00F87467">
        <w:rPr>
          <w:rFonts w:ascii="Times New Roman" w:hAnsi="Times New Roman" w:cs="Times New Roman"/>
          <w:sz w:val="24"/>
          <w:szCs w:val="24"/>
        </w:rPr>
        <w:t xml:space="preserve">Fertilising Products Regulation - Regulation (EU) 2019/1009 of the European Parliament and of the Council of 5 June 2019 laying down rules on the making available on the market of EU fertilising products and amending Regulations (EC) No 1069/2009 and (EC) No 1107/2009 and repealing Regulation (EC) No 2003/2003, OJ L 170, 25.6.2019, p. 1–114. </w:t>
      </w:r>
    </w:p>
    <w:p w14:paraId="14726EB9" w14:textId="77777777" w:rsidR="001041E0" w:rsidRPr="00F87467" w:rsidRDefault="001041E0" w:rsidP="001041E0">
      <w:pPr>
        <w:spacing w:before="60" w:after="60"/>
        <w:ind w:left="720" w:hanging="720"/>
        <w:jc w:val="both"/>
        <w:rPr>
          <w:rFonts w:ascii="Times New Roman" w:hAnsi="Times New Roman" w:cs="Times New Roman"/>
          <w:sz w:val="24"/>
          <w:szCs w:val="24"/>
        </w:rPr>
      </w:pPr>
      <w:r>
        <w:rPr>
          <w:rFonts w:ascii="Times New Roman" w:hAnsi="Times New Roman" w:cs="Times New Roman"/>
          <w:sz w:val="24"/>
          <w:szCs w:val="24"/>
        </w:rPr>
        <w:t xml:space="preserve">PFC </w:t>
      </w:r>
      <w:r>
        <w:rPr>
          <w:rFonts w:ascii="Times New Roman" w:hAnsi="Times New Roman" w:cs="Times New Roman"/>
          <w:sz w:val="24"/>
          <w:szCs w:val="24"/>
        </w:rPr>
        <w:tab/>
      </w:r>
      <w:r w:rsidRPr="00F87467">
        <w:rPr>
          <w:rFonts w:ascii="Times New Roman" w:hAnsi="Times New Roman" w:cs="Times New Roman"/>
          <w:sz w:val="24"/>
          <w:szCs w:val="24"/>
        </w:rPr>
        <w:t xml:space="preserve">Product Function Category (see Annex I to the FPR). </w:t>
      </w:r>
    </w:p>
    <w:p w14:paraId="050E5D11" w14:textId="0FD19D7F" w:rsidR="001041E0" w:rsidRDefault="001041E0" w:rsidP="001041E0">
      <w:pPr>
        <w:spacing w:before="60" w:after="60"/>
        <w:ind w:left="720" w:hanging="720"/>
        <w:jc w:val="both"/>
        <w:rPr>
          <w:rFonts w:ascii="Times New Roman" w:hAnsi="Times New Roman" w:cs="Times New Roman"/>
          <w:sz w:val="24"/>
          <w:szCs w:val="24"/>
        </w:rPr>
      </w:pPr>
      <w:hyperlink r:id="rId13" w:history="1">
        <w:r w:rsidRPr="001041E0">
          <w:rPr>
            <w:rStyle w:val="Hyperlink"/>
            <w:rFonts w:ascii="Times New Roman" w:hAnsi="Times New Roman" w:cs="Times New Roman"/>
            <w:sz w:val="24"/>
            <w:szCs w:val="24"/>
          </w:rPr>
          <w:t>PPPR</w:t>
        </w:r>
      </w:hyperlink>
      <w:r>
        <w:rPr>
          <w:rFonts w:ascii="Times New Roman" w:hAnsi="Times New Roman" w:cs="Times New Roman"/>
          <w:sz w:val="24"/>
          <w:szCs w:val="24"/>
        </w:rPr>
        <w:tab/>
        <w:t xml:space="preserve">Plant Protection Product Regulation - </w:t>
      </w:r>
      <w:r w:rsidRPr="00243C3A">
        <w:rPr>
          <w:rFonts w:ascii="Times New Roman" w:hAnsi="Times New Roman" w:cs="Times New Roman"/>
          <w:sz w:val="24"/>
          <w:szCs w:val="24"/>
        </w:rPr>
        <w:t>Regulation (EC) No 1107/2009 of the European Parliament and of the Council of 21 October 2009 concerning the placing of plant protection products on the market and repealing Council Directives 79/117/EEC and 91/414/EEC</w:t>
      </w:r>
      <w:r>
        <w:rPr>
          <w:rFonts w:ascii="Times New Roman" w:hAnsi="Times New Roman" w:cs="Times New Roman"/>
          <w:sz w:val="24"/>
          <w:szCs w:val="24"/>
        </w:rPr>
        <w:t xml:space="preserve">, </w:t>
      </w:r>
      <w:r w:rsidRPr="00243C3A">
        <w:rPr>
          <w:rFonts w:ascii="Times New Roman" w:hAnsi="Times New Roman" w:cs="Times New Roman"/>
          <w:sz w:val="24"/>
          <w:szCs w:val="24"/>
        </w:rPr>
        <w:t>OJ L 309, 24.11.2009, p. 1–50</w:t>
      </w:r>
      <w:r>
        <w:rPr>
          <w:rFonts w:ascii="Times New Roman" w:hAnsi="Times New Roman" w:cs="Times New Roman"/>
          <w:sz w:val="24"/>
          <w:szCs w:val="24"/>
        </w:rPr>
        <w:t>.</w:t>
      </w:r>
    </w:p>
    <w:p w14:paraId="4F69E6B2" w14:textId="150D9121" w:rsidR="001041E0" w:rsidRPr="00F87467" w:rsidRDefault="00205423" w:rsidP="001041E0">
      <w:pPr>
        <w:spacing w:before="60" w:after="60"/>
        <w:ind w:left="720" w:hanging="720"/>
        <w:jc w:val="both"/>
        <w:rPr>
          <w:rFonts w:ascii="Times New Roman" w:hAnsi="Times New Roman" w:cs="Times New Roman"/>
          <w:sz w:val="24"/>
          <w:szCs w:val="24"/>
        </w:rPr>
      </w:pPr>
      <w:hyperlink r:id="rId14" w:history="1">
        <w:r w:rsidR="001041E0" w:rsidRPr="001041E0">
          <w:rPr>
            <w:rStyle w:val="Hyperlink"/>
            <w:rFonts w:ascii="Times New Roman" w:hAnsi="Times New Roman" w:cs="Times New Roman"/>
            <w:sz w:val="24"/>
            <w:szCs w:val="24"/>
          </w:rPr>
          <w:t>REACH</w:t>
        </w:r>
      </w:hyperlink>
      <w:r w:rsidR="001041E0" w:rsidRPr="00F87467">
        <w:rPr>
          <w:rFonts w:ascii="Times New Roman" w:hAnsi="Times New Roman" w:cs="Times New Roman"/>
          <w:sz w:val="24"/>
          <w:szCs w:val="24"/>
        </w:rPr>
        <w:t xml:space="preserve"> - Regulation (EC) No 1907/2006 of the European Parliament and of the Council of 18 December 2006 concerning the Registration, Evaluation, Authorisation and Restriction of Chemicals, establishing a European Chemicals Agency, amending Directive 1999/45/EC and repealing Council Regulation (EEC) No 793/93 and Commission Regulation (EC) No 1488/94 as well as Council Directive 76/769/EEC and Commission Directives 91/155/EEC, 93/67/EEC, 93/105/EC and 2000/21/EC, OJ L 396, 30.12.2006, p. 1–850.</w:t>
      </w:r>
    </w:p>
    <w:p w14:paraId="433AA861" w14:textId="2D8599DD" w:rsidR="00407F81" w:rsidRPr="00F87467" w:rsidRDefault="00205423" w:rsidP="00F87467">
      <w:pPr>
        <w:spacing w:before="60" w:after="60"/>
        <w:ind w:left="720" w:hanging="720"/>
        <w:jc w:val="both"/>
        <w:rPr>
          <w:rFonts w:ascii="Times New Roman" w:hAnsi="Times New Roman" w:cs="Times New Roman"/>
          <w:sz w:val="24"/>
          <w:szCs w:val="24"/>
        </w:rPr>
      </w:pPr>
      <w:hyperlink r:id="rId15" w:history="1">
        <w:r w:rsidR="00407F81" w:rsidRPr="001041E0">
          <w:rPr>
            <w:rStyle w:val="Hyperlink"/>
            <w:rFonts w:ascii="Times New Roman" w:hAnsi="Times New Roman" w:cs="Times New Roman"/>
            <w:sz w:val="24"/>
            <w:szCs w:val="24"/>
          </w:rPr>
          <w:t>WFD</w:t>
        </w:r>
      </w:hyperlink>
      <w:r w:rsidR="00407F81" w:rsidRPr="00F87467">
        <w:rPr>
          <w:rFonts w:ascii="Times New Roman" w:hAnsi="Times New Roman" w:cs="Times New Roman"/>
          <w:sz w:val="24"/>
          <w:szCs w:val="24"/>
        </w:rPr>
        <w:t xml:space="preserve"> </w:t>
      </w:r>
      <w:r w:rsidR="00814841">
        <w:rPr>
          <w:rFonts w:ascii="Times New Roman" w:hAnsi="Times New Roman" w:cs="Times New Roman"/>
          <w:sz w:val="24"/>
          <w:szCs w:val="24"/>
        </w:rPr>
        <w:tab/>
      </w:r>
      <w:r w:rsidR="001A7182" w:rsidRPr="00F87467">
        <w:rPr>
          <w:rFonts w:ascii="Times New Roman" w:hAnsi="Times New Roman" w:cs="Times New Roman"/>
          <w:sz w:val="24"/>
          <w:szCs w:val="24"/>
        </w:rPr>
        <w:t>Waste Framework Directive - Directive 2008/98/EC of the European Parliament and of the Council of 19 November 2008 on waste and repealing certain Directives, OJ L 312, 22.11.2008, p. 3–30.</w:t>
      </w:r>
    </w:p>
    <w:p w14:paraId="28663AE2" w14:textId="3DF41416" w:rsidR="00D33EE3" w:rsidRPr="00F87467" w:rsidRDefault="00D33EE3" w:rsidP="00F87467">
      <w:pPr>
        <w:spacing w:before="60" w:after="60"/>
        <w:jc w:val="both"/>
        <w:rPr>
          <w:rFonts w:ascii="Times New Roman" w:hAnsi="Times New Roman" w:cs="Times New Roman"/>
          <w:sz w:val="24"/>
          <w:szCs w:val="24"/>
        </w:rPr>
      </w:pPr>
      <w:r w:rsidRPr="00F87467">
        <w:rPr>
          <w:rFonts w:ascii="Times New Roman" w:hAnsi="Times New Roman" w:cs="Times New Roman"/>
          <w:sz w:val="24"/>
          <w:szCs w:val="24"/>
        </w:rPr>
        <w:br w:type="page"/>
      </w:r>
    </w:p>
    <w:p w14:paraId="79E7F926" w14:textId="29A35E83" w:rsidR="00D33EE3" w:rsidRPr="00CC0A4B" w:rsidRDefault="00EE06E6" w:rsidP="00F87467">
      <w:pPr>
        <w:pStyle w:val="Heading1"/>
        <w:numPr>
          <w:ilvl w:val="0"/>
          <w:numId w:val="3"/>
        </w:numPr>
        <w:tabs>
          <w:tab w:val="left" w:pos="426"/>
        </w:tabs>
        <w:spacing w:before="60" w:after="60"/>
        <w:jc w:val="both"/>
        <w:rPr>
          <w:rFonts w:ascii="Times New Roman" w:hAnsi="Times New Roman" w:cs="Times New Roman"/>
          <w:sz w:val="24"/>
          <w:szCs w:val="24"/>
        </w:rPr>
      </w:pPr>
      <w:bookmarkStart w:id="1" w:name="_Toc59185366"/>
      <w:r w:rsidRPr="00F87467">
        <w:rPr>
          <w:rFonts w:ascii="Times New Roman" w:hAnsi="Times New Roman" w:cs="Times New Roman"/>
          <w:sz w:val="24"/>
          <w:szCs w:val="24"/>
        </w:rPr>
        <w:lastRenderedPageBreak/>
        <w:t>The s</w:t>
      </w:r>
      <w:r w:rsidR="00AE2609" w:rsidRPr="00F87467">
        <w:rPr>
          <w:rFonts w:ascii="Times New Roman" w:hAnsi="Times New Roman" w:cs="Times New Roman"/>
          <w:sz w:val="24"/>
          <w:szCs w:val="24"/>
        </w:rPr>
        <w:t xml:space="preserve">cope of </w:t>
      </w:r>
      <w:r w:rsidR="00BD56B1" w:rsidRPr="00F87467">
        <w:rPr>
          <w:rFonts w:ascii="Times New Roman" w:hAnsi="Times New Roman" w:cs="Times New Roman"/>
          <w:sz w:val="24"/>
          <w:szCs w:val="24"/>
        </w:rPr>
        <w:t xml:space="preserve">the </w:t>
      </w:r>
      <w:r w:rsidR="00AE2609" w:rsidRPr="00F87467">
        <w:rPr>
          <w:rFonts w:ascii="Times New Roman" w:hAnsi="Times New Roman" w:cs="Times New Roman"/>
          <w:sz w:val="24"/>
          <w:szCs w:val="24"/>
        </w:rPr>
        <w:t>FPR</w:t>
      </w:r>
      <w:bookmarkEnd w:id="1"/>
    </w:p>
    <w:p w14:paraId="29DC94E2" w14:textId="4305896A" w:rsidR="006A483A" w:rsidRPr="00F87467" w:rsidRDefault="006A483A" w:rsidP="00F87467">
      <w:pPr>
        <w:pStyle w:val="Heading2"/>
        <w:spacing w:before="60" w:after="60" w:line="276" w:lineRule="auto"/>
      </w:pPr>
      <w:bookmarkStart w:id="2" w:name="_Toc59185367"/>
      <w:r w:rsidRPr="00F87467">
        <w:t>What is a fertilising product?</w:t>
      </w:r>
      <w:bookmarkEnd w:id="2"/>
    </w:p>
    <w:p w14:paraId="6EA8B47E" w14:textId="77777777" w:rsidR="006A483A" w:rsidRPr="00F87467" w:rsidRDefault="006A483A" w:rsidP="00F87467">
      <w:pPr>
        <w:spacing w:before="60" w:after="60"/>
        <w:jc w:val="both"/>
        <w:rPr>
          <w:rFonts w:ascii="Times New Roman" w:hAnsi="Times New Roman" w:cs="Times New Roman"/>
          <w:sz w:val="24"/>
          <w:szCs w:val="24"/>
          <w:lang w:eastAsia="de-DE"/>
        </w:rPr>
      </w:pPr>
      <w:r w:rsidRPr="00F87467">
        <w:rPr>
          <w:rFonts w:ascii="Times New Roman" w:hAnsi="Times New Roman" w:cs="Times New Roman"/>
          <w:sz w:val="24"/>
          <w:szCs w:val="24"/>
          <w:lang w:eastAsia="de-DE"/>
        </w:rPr>
        <w:t xml:space="preserve">A fertilising product is: </w:t>
      </w:r>
    </w:p>
    <w:p w14:paraId="5E36C1DF" w14:textId="70F7D4B9" w:rsidR="006A483A" w:rsidRPr="00F87467" w:rsidRDefault="006A483A" w:rsidP="00E717A1">
      <w:pPr>
        <w:pStyle w:val="ListParagraph"/>
        <w:numPr>
          <w:ilvl w:val="0"/>
          <w:numId w:val="8"/>
        </w:numPr>
        <w:spacing w:before="60" w:after="60" w:line="276" w:lineRule="auto"/>
        <w:jc w:val="both"/>
        <w:rPr>
          <w:szCs w:val="24"/>
          <w:lang w:val="en-GB"/>
        </w:rPr>
      </w:pPr>
      <w:r w:rsidRPr="00F87467">
        <w:rPr>
          <w:szCs w:val="24"/>
          <w:lang w:val="en-GB"/>
        </w:rPr>
        <w:t xml:space="preserve">a substance, mixture, micro-organism or any other material which:  </w:t>
      </w:r>
    </w:p>
    <w:p w14:paraId="1F3BED20" w14:textId="2E60518D" w:rsidR="006A483A" w:rsidRPr="00F87467" w:rsidRDefault="006A483A" w:rsidP="00E717A1">
      <w:pPr>
        <w:pStyle w:val="ListParagraph"/>
        <w:numPr>
          <w:ilvl w:val="1"/>
          <w:numId w:val="7"/>
        </w:numPr>
        <w:spacing w:before="60" w:after="60" w:line="276" w:lineRule="auto"/>
        <w:jc w:val="both"/>
        <w:rPr>
          <w:szCs w:val="24"/>
          <w:lang w:val="en-GB"/>
        </w:rPr>
      </w:pPr>
      <w:r w:rsidRPr="00F87467">
        <w:rPr>
          <w:szCs w:val="24"/>
          <w:lang w:val="en-GB"/>
        </w:rPr>
        <w:t xml:space="preserve">is applied on plants or their rhizosphere or on mushrooms or their mycosphere, or </w:t>
      </w:r>
    </w:p>
    <w:p w14:paraId="212BCC71" w14:textId="3645FD81" w:rsidR="006A483A" w:rsidRPr="00F87467" w:rsidRDefault="006A483A" w:rsidP="00E717A1">
      <w:pPr>
        <w:pStyle w:val="ListParagraph"/>
        <w:numPr>
          <w:ilvl w:val="1"/>
          <w:numId w:val="7"/>
        </w:numPr>
        <w:spacing w:before="60" w:after="60" w:line="276" w:lineRule="auto"/>
        <w:jc w:val="both"/>
        <w:rPr>
          <w:szCs w:val="24"/>
          <w:lang w:val="en-GB"/>
        </w:rPr>
      </w:pPr>
      <w:r w:rsidRPr="00F87467">
        <w:rPr>
          <w:szCs w:val="24"/>
          <w:lang w:val="en-GB"/>
        </w:rPr>
        <w:t>constitutes the rhizosphere or mycosphere, either on its own</w:t>
      </w:r>
      <w:r w:rsidR="00D27765" w:rsidRPr="00F87467">
        <w:rPr>
          <w:szCs w:val="24"/>
          <w:lang w:val="en-GB"/>
        </w:rPr>
        <w:t xml:space="preserve"> or mixed with another material</w:t>
      </w:r>
      <w:r w:rsidRPr="00F87467">
        <w:rPr>
          <w:szCs w:val="24"/>
          <w:lang w:val="en-GB"/>
        </w:rPr>
        <w:t xml:space="preserve">  </w:t>
      </w:r>
    </w:p>
    <w:p w14:paraId="7CB00882" w14:textId="546290A5" w:rsidR="00D27765" w:rsidRPr="00F87467" w:rsidRDefault="006A483A" w:rsidP="00F87467">
      <w:pPr>
        <w:pStyle w:val="ListParagraph"/>
        <w:spacing w:before="60" w:after="60" w:line="276" w:lineRule="auto"/>
        <w:jc w:val="both"/>
        <w:rPr>
          <w:szCs w:val="24"/>
          <w:lang w:val="en-GB"/>
        </w:rPr>
      </w:pPr>
      <w:r w:rsidRPr="00F87467">
        <w:rPr>
          <w:szCs w:val="24"/>
          <w:lang w:val="en-GB"/>
        </w:rPr>
        <w:t xml:space="preserve">and </w:t>
      </w:r>
    </w:p>
    <w:p w14:paraId="05739484" w14:textId="26614565" w:rsidR="006A483A" w:rsidRPr="00F87467" w:rsidRDefault="006A483A" w:rsidP="00E717A1">
      <w:pPr>
        <w:pStyle w:val="ListParagraph"/>
        <w:numPr>
          <w:ilvl w:val="0"/>
          <w:numId w:val="7"/>
        </w:numPr>
        <w:spacing w:before="60" w:after="60" w:line="276" w:lineRule="auto"/>
        <w:jc w:val="both"/>
        <w:rPr>
          <w:szCs w:val="24"/>
          <w:lang w:val="en-GB"/>
        </w:rPr>
      </w:pPr>
      <w:r w:rsidRPr="00F87467">
        <w:rPr>
          <w:szCs w:val="24"/>
          <w:lang w:val="en-GB"/>
        </w:rPr>
        <w:t xml:space="preserve">has as a purpose: </w:t>
      </w:r>
    </w:p>
    <w:p w14:paraId="438D2DF5" w14:textId="77777777" w:rsidR="006A483A" w:rsidRPr="00F87467" w:rsidRDefault="006A483A" w:rsidP="00E717A1">
      <w:pPr>
        <w:pStyle w:val="ListParagraph"/>
        <w:numPr>
          <w:ilvl w:val="1"/>
          <w:numId w:val="7"/>
        </w:numPr>
        <w:spacing w:before="60" w:after="60" w:line="276" w:lineRule="auto"/>
        <w:jc w:val="both"/>
        <w:rPr>
          <w:szCs w:val="24"/>
          <w:lang w:val="en-GB"/>
        </w:rPr>
      </w:pPr>
      <w:r w:rsidRPr="00F87467">
        <w:rPr>
          <w:szCs w:val="24"/>
          <w:lang w:val="en-GB"/>
        </w:rPr>
        <w:t xml:space="preserve">to provide plants or mushrooms with nutrient or </w:t>
      </w:r>
    </w:p>
    <w:p w14:paraId="75B86BBD" w14:textId="39210A19" w:rsidR="006A483A" w:rsidRPr="00F87467" w:rsidRDefault="006A483A" w:rsidP="00E717A1">
      <w:pPr>
        <w:pStyle w:val="ListParagraph"/>
        <w:numPr>
          <w:ilvl w:val="1"/>
          <w:numId w:val="7"/>
        </w:numPr>
        <w:spacing w:before="60" w:after="60" w:line="276" w:lineRule="auto"/>
        <w:jc w:val="both"/>
        <w:rPr>
          <w:szCs w:val="24"/>
          <w:lang w:val="en-GB"/>
        </w:rPr>
      </w:pPr>
      <w:r w:rsidRPr="00F87467">
        <w:rPr>
          <w:szCs w:val="24"/>
          <w:lang w:val="en-GB"/>
        </w:rPr>
        <w:t xml:space="preserve">improve their nutrition efficiency.  </w:t>
      </w:r>
    </w:p>
    <w:p w14:paraId="3F0A28CC" w14:textId="77777777" w:rsidR="006A483A" w:rsidRPr="00F87467" w:rsidRDefault="006A483A" w:rsidP="00F87467">
      <w:pPr>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Fertilising products include fertilisers (which provide plants with nutrients), but also other categories of products (such as inhibitors, liming materials or growing media). </w:t>
      </w:r>
    </w:p>
    <w:p w14:paraId="03CBECC2" w14:textId="7C382F3F" w:rsidR="006A483A" w:rsidRPr="00F87467" w:rsidRDefault="006A483A" w:rsidP="00F87467">
      <w:pPr>
        <w:spacing w:before="60" w:after="60"/>
        <w:jc w:val="both"/>
        <w:rPr>
          <w:rFonts w:ascii="Times New Roman" w:hAnsi="Times New Roman" w:cs="Times New Roman"/>
          <w:sz w:val="24"/>
          <w:szCs w:val="24"/>
          <w:lang w:eastAsia="de-DE"/>
        </w:rPr>
      </w:pPr>
      <w:r w:rsidRPr="00F87467">
        <w:rPr>
          <w:rFonts w:ascii="Times New Roman" w:hAnsi="Times New Roman" w:cs="Times New Roman"/>
          <w:sz w:val="24"/>
          <w:szCs w:val="24"/>
          <w:lang w:eastAsia="de-DE"/>
        </w:rPr>
        <w:t xml:space="preserve">For more details on the products concerned, see question </w:t>
      </w:r>
      <w:r w:rsidR="007339B0" w:rsidRPr="00F87467">
        <w:rPr>
          <w:rFonts w:ascii="Times New Roman" w:hAnsi="Times New Roman" w:cs="Times New Roman"/>
          <w:sz w:val="24"/>
          <w:szCs w:val="24"/>
          <w:lang w:eastAsia="de-DE"/>
        </w:rPr>
        <w:t xml:space="preserve">7.1. </w:t>
      </w:r>
    </w:p>
    <w:p w14:paraId="36EA0E7E" w14:textId="77777777" w:rsidR="006A483A" w:rsidRPr="00F87467" w:rsidRDefault="006A483A" w:rsidP="00F87467">
      <w:pPr>
        <w:spacing w:before="60" w:after="60"/>
        <w:jc w:val="both"/>
        <w:rPr>
          <w:rFonts w:ascii="Times New Roman" w:hAnsi="Times New Roman" w:cs="Times New Roman"/>
          <w:sz w:val="24"/>
          <w:szCs w:val="24"/>
          <w:lang w:eastAsia="de-DE"/>
        </w:rPr>
      </w:pPr>
    </w:p>
    <w:p w14:paraId="11BC6A05" w14:textId="0F465C5A" w:rsidR="0068321A" w:rsidRPr="00F87467" w:rsidRDefault="0068321A" w:rsidP="00F87467">
      <w:pPr>
        <w:pStyle w:val="Heading2"/>
        <w:spacing w:before="60" w:after="60" w:line="276" w:lineRule="auto"/>
      </w:pPr>
      <w:bookmarkStart w:id="3" w:name="_Toc59185368"/>
      <w:r w:rsidRPr="00F87467">
        <w:t>What is an EU fertilising product?</w:t>
      </w:r>
      <w:bookmarkEnd w:id="3"/>
    </w:p>
    <w:p w14:paraId="652A95D5" w14:textId="77777777" w:rsidR="0068321A" w:rsidRPr="00F87467" w:rsidRDefault="0068321A" w:rsidP="00F87467">
      <w:pPr>
        <w:spacing w:before="60" w:after="60"/>
        <w:jc w:val="both"/>
        <w:rPr>
          <w:rFonts w:ascii="Times New Roman" w:hAnsi="Times New Roman" w:cs="Times New Roman"/>
          <w:sz w:val="24"/>
          <w:szCs w:val="24"/>
          <w:lang w:eastAsia="de-DE"/>
        </w:rPr>
      </w:pPr>
      <w:r w:rsidRPr="00F87467">
        <w:rPr>
          <w:rFonts w:ascii="Times New Roman" w:hAnsi="Times New Roman" w:cs="Times New Roman"/>
          <w:sz w:val="24"/>
          <w:szCs w:val="24"/>
          <w:lang w:eastAsia="de-DE"/>
        </w:rPr>
        <w:t xml:space="preserve">An EU fertilising product is a fertilising product which is CE marked when made available on the market.  </w:t>
      </w:r>
    </w:p>
    <w:p w14:paraId="2DC2FDE6" w14:textId="28708C64" w:rsidR="0068321A" w:rsidRPr="00F87467" w:rsidRDefault="0068321A" w:rsidP="00F87467">
      <w:pPr>
        <w:spacing w:before="60" w:after="60"/>
        <w:jc w:val="both"/>
        <w:rPr>
          <w:rFonts w:ascii="Times New Roman" w:hAnsi="Times New Roman" w:cs="Times New Roman"/>
          <w:sz w:val="24"/>
          <w:szCs w:val="24"/>
          <w:lang w:eastAsia="de-DE"/>
        </w:rPr>
      </w:pPr>
      <w:r w:rsidRPr="00F87467">
        <w:rPr>
          <w:rFonts w:ascii="Times New Roman" w:hAnsi="Times New Roman" w:cs="Times New Roman"/>
          <w:sz w:val="24"/>
          <w:szCs w:val="24"/>
          <w:lang w:eastAsia="de-DE"/>
        </w:rPr>
        <w:t>A manufacturer is allowed to CE mark a fertilising product only if</w:t>
      </w:r>
      <w:r w:rsidR="00563B29" w:rsidRPr="00F87467">
        <w:rPr>
          <w:rFonts w:ascii="Times New Roman" w:hAnsi="Times New Roman" w:cs="Times New Roman"/>
          <w:sz w:val="24"/>
          <w:szCs w:val="24"/>
          <w:lang w:eastAsia="de-DE"/>
        </w:rPr>
        <w:t xml:space="preserve">, in accordance with the </w:t>
      </w:r>
      <w:hyperlink r:id="rId16" w:history="1">
        <w:r w:rsidR="00563B29" w:rsidRPr="00D53265">
          <w:rPr>
            <w:rStyle w:val="Hyperlink"/>
            <w:rFonts w:ascii="Times New Roman" w:hAnsi="Times New Roman" w:cs="Times New Roman"/>
            <w:sz w:val="24"/>
            <w:szCs w:val="24"/>
            <w:lang w:eastAsia="de-DE"/>
          </w:rPr>
          <w:t>FPR</w:t>
        </w:r>
      </w:hyperlink>
      <w:r w:rsidR="00563B29" w:rsidRPr="00F87467">
        <w:rPr>
          <w:rFonts w:ascii="Times New Roman" w:hAnsi="Times New Roman" w:cs="Times New Roman"/>
          <w:sz w:val="24"/>
          <w:szCs w:val="24"/>
          <w:lang w:eastAsia="de-DE"/>
        </w:rPr>
        <w:t>,</w:t>
      </w:r>
      <w:r w:rsidRPr="00F87467">
        <w:rPr>
          <w:rFonts w:ascii="Times New Roman" w:hAnsi="Times New Roman" w:cs="Times New Roman"/>
          <w:sz w:val="24"/>
          <w:szCs w:val="24"/>
          <w:lang w:eastAsia="de-DE"/>
        </w:rPr>
        <w:t xml:space="preserve"> it: </w:t>
      </w:r>
    </w:p>
    <w:p w14:paraId="43EF3479" w14:textId="4F8BFC84" w:rsidR="0068321A" w:rsidRPr="00F87467" w:rsidRDefault="0068321A" w:rsidP="00E717A1">
      <w:pPr>
        <w:pStyle w:val="ListParagraph"/>
        <w:numPr>
          <w:ilvl w:val="0"/>
          <w:numId w:val="7"/>
        </w:numPr>
        <w:spacing w:before="60" w:after="60" w:line="276" w:lineRule="auto"/>
        <w:jc w:val="both"/>
        <w:rPr>
          <w:szCs w:val="24"/>
          <w:lang w:val="en-GB"/>
        </w:rPr>
      </w:pPr>
      <w:r w:rsidRPr="00F87467">
        <w:rPr>
          <w:szCs w:val="24"/>
          <w:lang w:val="en-GB"/>
        </w:rPr>
        <w:t xml:space="preserve">meets the requirements for the relevant product function category </w:t>
      </w:r>
      <w:r w:rsidR="00122496">
        <w:rPr>
          <w:szCs w:val="24"/>
          <w:lang w:val="en-GB"/>
        </w:rPr>
        <w:t>(Annex I)</w:t>
      </w:r>
    </w:p>
    <w:p w14:paraId="0653D7C1" w14:textId="61F78BEB" w:rsidR="0068321A" w:rsidRPr="00F87467" w:rsidRDefault="0068321A" w:rsidP="00E717A1">
      <w:pPr>
        <w:pStyle w:val="ListParagraph"/>
        <w:numPr>
          <w:ilvl w:val="0"/>
          <w:numId w:val="7"/>
        </w:numPr>
        <w:spacing w:before="60" w:after="60" w:line="276" w:lineRule="auto"/>
        <w:jc w:val="both"/>
        <w:rPr>
          <w:szCs w:val="24"/>
          <w:lang w:val="en-GB"/>
        </w:rPr>
      </w:pPr>
      <w:r w:rsidRPr="00F87467">
        <w:rPr>
          <w:szCs w:val="24"/>
          <w:lang w:val="en-GB"/>
        </w:rPr>
        <w:t>meets the requirements for the relevant component material category or categories</w:t>
      </w:r>
      <w:r w:rsidR="00122496">
        <w:rPr>
          <w:szCs w:val="24"/>
          <w:lang w:val="en-GB"/>
        </w:rPr>
        <w:t xml:space="preserve"> (Annex II)</w:t>
      </w:r>
      <w:r w:rsidRPr="00F87467">
        <w:rPr>
          <w:szCs w:val="24"/>
          <w:lang w:val="en-GB"/>
        </w:rPr>
        <w:t xml:space="preserve"> </w:t>
      </w:r>
    </w:p>
    <w:p w14:paraId="2C931B26" w14:textId="24DF7EF7" w:rsidR="0068321A" w:rsidRDefault="0068321A" w:rsidP="00E717A1">
      <w:pPr>
        <w:pStyle w:val="ListParagraph"/>
        <w:numPr>
          <w:ilvl w:val="0"/>
          <w:numId w:val="7"/>
        </w:numPr>
        <w:spacing w:before="60" w:after="60" w:line="276" w:lineRule="auto"/>
        <w:jc w:val="both"/>
        <w:rPr>
          <w:szCs w:val="24"/>
          <w:lang w:val="en-GB"/>
        </w:rPr>
      </w:pPr>
      <w:r w:rsidRPr="00F87467">
        <w:rPr>
          <w:szCs w:val="24"/>
          <w:lang w:val="en-GB"/>
        </w:rPr>
        <w:t xml:space="preserve">is labelled in accordance with the labelling requirements </w:t>
      </w:r>
      <w:r w:rsidR="00122496">
        <w:rPr>
          <w:szCs w:val="24"/>
          <w:lang w:val="en-GB"/>
        </w:rPr>
        <w:t>(Annex III)</w:t>
      </w:r>
      <w:r w:rsidR="00122496" w:rsidRPr="00F87467">
        <w:rPr>
          <w:szCs w:val="24"/>
          <w:lang w:val="en-GB"/>
        </w:rPr>
        <w:t>; and</w:t>
      </w:r>
    </w:p>
    <w:p w14:paraId="5DC15D1F" w14:textId="70BFB11A" w:rsidR="00122496" w:rsidRPr="00F87467" w:rsidRDefault="00122496" w:rsidP="00E717A1">
      <w:pPr>
        <w:pStyle w:val="ListParagraph"/>
        <w:numPr>
          <w:ilvl w:val="0"/>
          <w:numId w:val="7"/>
        </w:numPr>
        <w:spacing w:before="60" w:after="60" w:line="276" w:lineRule="auto"/>
        <w:jc w:val="both"/>
        <w:rPr>
          <w:szCs w:val="24"/>
          <w:lang w:val="en-GB"/>
        </w:rPr>
      </w:pPr>
      <w:r>
        <w:rPr>
          <w:szCs w:val="24"/>
          <w:lang w:val="en-GB"/>
        </w:rPr>
        <w:t xml:space="preserve">has </w:t>
      </w:r>
      <w:r w:rsidR="00243C3A">
        <w:rPr>
          <w:szCs w:val="24"/>
          <w:lang w:val="en-GB"/>
        </w:rPr>
        <w:t>successfully passed the relevant conformity assessment procedure</w:t>
      </w:r>
      <w:r>
        <w:rPr>
          <w:szCs w:val="24"/>
          <w:lang w:val="en-GB"/>
        </w:rPr>
        <w:t xml:space="preserve"> (Annex IV).</w:t>
      </w:r>
    </w:p>
    <w:p w14:paraId="7D50477E" w14:textId="726910C7" w:rsidR="00563B29" w:rsidRPr="00F87467" w:rsidRDefault="00563B29" w:rsidP="00F87467">
      <w:pPr>
        <w:spacing w:before="60" w:after="60"/>
        <w:jc w:val="both"/>
        <w:rPr>
          <w:rFonts w:ascii="Times New Roman" w:hAnsi="Times New Roman" w:cs="Times New Roman"/>
          <w:sz w:val="24"/>
          <w:szCs w:val="24"/>
          <w:lang w:eastAsia="de-DE"/>
        </w:rPr>
      </w:pPr>
      <w:r w:rsidRPr="00F87467">
        <w:rPr>
          <w:rFonts w:ascii="Times New Roman" w:hAnsi="Times New Roman" w:cs="Times New Roman"/>
          <w:sz w:val="24"/>
          <w:szCs w:val="24"/>
          <w:lang w:eastAsia="de-DE"/>
        </w:rPr>
        <w:t>For more details, see the questions</w:t>
      </w:r>
      <w:r w:rsidR="007339B0" w:rsidRPr="00F87467">
        <w:rPr>
          <w:rFonts w:ascii="Times New Roman" w:hAnsi="Times New Roman" w:cs="Times New Roman"/>
          <w:sz w:val="24"/>
          <w:szCs w:val="24"/>
          <w:lang w:eastAsia="de-DE"/>
        </w:rPr>
        <w:t xml:space="preserve"> 7.1 and 8.1</w:t>
      </w:r>
      <w:r w:rsidRPr="00F87467">
        <w:rPr>
          <w:rFonts w:ascii="Times New Roman" w:hAnsi="Times New Roman" w:cs="Times New Roman"/>
          <w:sz w:val="24"/>
          <w:szCs w:val="24"/>
          <w:lang w:eastAsia="de-DE"/>
        </w:rPr>
        <w:t xml:space="preserve">.  </w:t>
      </w:r>
    </w:p>
    <w:p w14:paraId="6F54C958" w14:textId="77777777" w:rsidR="00563B29" w:rsidRPr="00F87467" w:rsidRDefault="00563B29" w:rsidP="00F87467">
      <w:pPr>
        <w:spacing w:before="60" w:after="60"/>
        <w:jc w:val="both"/>
        <w:rPr>
          <w:rFonts w:ascii="Times New Roman" w:hAnsi="Times New Roman" w:cs="Times New Roman"/>
          <w:sz w:val="24"/>
          <w:szCs w:val="24"/>
          <w:lang w:eastAsia="de-DE"/>
        </w:rPr>
      </w:pPr>
    </w:p>
    <w:p w14:paraId="48B24C66" w14:textId="2BAB2F50" w:rsidR="004B4197" w:rsidRPr="00F87467" w:rsidRDefault="004B4197" w:rsidP="00F87467">
      <w:pPr>
        <w:pStyle w:val="Heading2"/>
        <w:spacing w:before="60" w:after="60" w:line="276" w:lineRule="auto"/>
      </w:pPr>
      <w:bookmarkStart w:id="4" w:name="_Toc59185369"/>
      <w:r w:rsidRPr="00F87467">
        <w:t>Do</w:t>
      </w:r>
      <w:r w:rsidR="00591E39" w:rsidRPr="00F87467">
        <w:t>es</w:t>
      </w:r>
      <w:r w:rsidRPr="00F87467">
        <w:t xml:space="preserve"> the </w:t>
      </w:r>
      <w:r w:rsidR="00591E39" w:rsidRPr="00F87467">
        <w:t xml:space="preserve">FPR </w:t>
      </w:r>
      <w:r w:rsidRPr="00F87467">
        <w:t>cover fertilising products containing substances</w:t>
      </w:r>
      <w:r w:rsidR="001D6FDF" w:rsidRPr="00F87467">
        <w:t xml:space="preserve"> or microorganisms</w:t>
      </w:r>
      <w:r w:rsidRPr="00F87467">
        <w:t xml:space="preserve"> which have a pesticide effect, such as copper compounds or calcium cyanamide?</w:t>
      </w:r>
      <w:bookmarkEnd w:id="4"/>
    </w:p>
    <w:p w14:paraId="2029CF08" w14:textId="6C6D748F" w:rsidR="002351AB" w:rsidRDefault="007141CC"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P</w:t>
      </w:r>
      <w:r w:rsidR="00EF4CAD" w:rsidRPr="00F87467">
        <w:rPr>
          <w:rFonts w:ascii="Times New Roman" w:hAnsi="Times New Roman" w:cs="Times New Roman"/>
          <w:sz w:val="24"/>
          <w:szCs w:val="24"/>
        </w:rPr>
        <w:t xml:space="preserve">roducts that fall under the scope of the </w:t>
      </w:r>
      <w:hyperlink r:id="rId17" w:history="1">
        <w:r w:rsidR="00183277" w:rsidRPr="001041E0">
          <w:rPr>
            <w:rStyle w:val="Hyperlink"/>
            <w:rFonts w:ascii="Times New Roman" w:hAnsi="Times New Roman" w:cs="Times New Roman"/>
            <w:sz w:val="24"/>
            <w:szCs w:val="24"/>
          </w:rPr>
          <w:t>PPPR</w:t>
        </w:r>
      </w:hyperlink>
      <w:r w:rsidR="00EF4CAD" w:rsidRPr="00F87467">
        <w:rPr>
          <w:rFonts w:ascii="Times New Roman" w:hAnsi="Times New Roman" w:cs="Times New Roman"/>
          <w:sz w:val="24"/>
          <w:szCs w:val="24"/>
        </w:rPr>
        <w:t xml:space="preserve"> are automatically excluded from the scope of </w:t>
      </w:r>
      <w:r w:rsidR="004531BA" w:rsidRPr="00F87467">
        <w:rPr>
          <w:rFonts w:ascii="Times New Roman" w:hAnsi="Times New Roman" w:cs="Times New Roman"/>
          <w:sz w:val="24"/>
          <w:szCs w:val="24"/>
        </w:rPr>
        <w:t xml:space="preserve">the </w:t>
      </w:r>
      <w:hyperlink r:id="rId18" w:history="1">
        <w:r w:rsidR="00EF4CAD" w:rsidRPr="00D53265">
          <w:rPr>
            <w:rStyle w:val="Hyperlink"/>
            <w:rFonts w:ascii="Times New Roman" w:hAnsi="Times New Roman" w:cs="Times New Roman"/>
            <w:sz w:val="24"/>
            <w:szCs w:val="24"/>
          </w:rPr>
          <w:t>FPR</w:t>
        </w:r>
      </w:hyperlink>
      <w:r w:rsidR="00EF4CAD" w:rsidRPr="00F87467">
        <w:rPr>
          <w:rFonts w:ascii="Times New Roman" w:hAnsi="Times New Roman" w:cs="Times New Roman"/>
          <w:sz w:val="24"/>
          <w:szCs w:val="24"/>
        </w:rPr>
        <w:t xml:space="preserve">. But this rule cannot apply directly to substances </w:t>
      </w:r>
      <w:r w:rsidR="001D6FDF" w:rsidRPr="00F87467">
        <w:rPr>
          <w:rFonts w:ascii="Times New Roman" w:hAnsi="Times New Roman" w:cs="Times New Roman"/>
          <w:sz w:val="24"/>
          <w:szCs w:val="24"/>
        </w:rPr>
        <w:t xml:space="preserve">or microorganisms </w:t>
      </w:r>
      <w:r w:rsidR="00EF4CAD" w:rsidRPr="00F87467">
        <w:rPr>
          <w:rFonts w:ascii="Times New Roman" w:hAnsi="Times New Roman" w:cs="Times New Roman"/>
          <w:sz w:val="24"/>
          <w:szCs w:val="24"/>
        </w:rPr>
        <w:t>with a known pesticid</w:t>
      </w:r>
      <w:r w:rsidR="000C76E5" w:rsidRPr="00F87467">
        <w:rPr>
          <w:rFonts w:ascii="Times New Roman" w:hAnsi="Times New Roman" w:cs="Times New Roman"/>
          <w:sz w:val="24"/>
          <w:szCs w:val="24"/>
        </w:rPr>
        <w:t>al or other plant protection</w:t>
      </w:r>
      <w:r w:rsidR="0039520B" w:rsidRPr="00F87467">
        <w:rPr>
          <w:rFonts w:ascii="Times New Roman" w:hAnsi="Times New Roman" w:cs="Times New Roman"/>
          <w:sz w:val="24"/>
          <w:szCs w:val="24"/>
        </w:rPr>
        <w:t xml:space="preserve"> </w:t>
      </w:r>
      <w:r w:rsidR="00EF4CAD" w:rsidRPr="00F87467">
        <w:rPr>
          <w:rFonts w:ascii="Times New Roman" w:hAnsi="Times New Roman" w:cs="Times New Roman"/>
          <w:sz w:val="24"/>
          <w:szCs w:val="24"/>
        </w:rPr>
        <w:t>effect. If a fertilising product, which complies with all requirements set in</w:t>
      </w:r>
      <w:r w:rsidR="004531BA" w:rsidRPr="00F87467">
        <w:rPr>
          <w:rFonts w:ascii="Times New Roman" w:hAnsi="Times New Roman" w:cs="Times New Roman"/>
          <w:sz w:val="24"/>
          <w:szCs w:val="24"/>
        </w:rPr>
        <w:t xml:space="preserve"> the</w:t>
      </w:r>
      <w:r w:rsidR="00EF4CAD" w:rsidRPr="00F87467">
        <w:rPr>
          <w:rFonts w:ascii="Times New Roman" w:hAnsi="Times New Roman" w:cs="Times New Roman"/>
          <w:sz w:val="24"/>
          <w:szCs w:val="24"/>
        </w:rPr>
        <w:t xml:space="preserve"> </w:t>
      </w:r>
      <w:hyperlink r:id="rId19" w:history="1">
        <w:r w:rsidR="00EF4CAD" w:rsidRPr="00D53265">
          <w:rPr>
            <w:rStyle w:val="Hyperlink"/>
            <w:rFonts w:ascii="Times New Roman" w:hAnsi="Times New Roman" w:cs="Times New Roman"/>
            <w:sz w:val="24"/>
            <w:szCs w:val="24"/>
          </w:rPr>
          <w:t>FPR</w:t>
        </w:r>
      </w:hyperlink>
      <w:r w:rsidR="00EF4CAD" w:rsidRPr="00F87467">
        <w:rPr>
          <w:rFonts w:ascii="Times New Roman" w:hAnsi="Times New Roman" w:cs="Times New Roman"/>
          <w:sz w:val="24"/>
          <w:szCs w:val="24"/>
        </w:rPr>
        <w:t>, happens to contain a substance</w:t>
      </w:r>
      <w:r w:rsidR="001D6FDF" w:rsidRPr="00F87467">
        <w:rPr>
          <w:rFonts w:ascii="Times New Roman" w:hAnsi="Times New Roman" w:cs="Times New Roman"/>
          <w:sz w:val="24"/>
          <w:szCs w:val="24"/>
        </w:rPr>
        <w:t xml:space="preserve"> or microorganism</w:t>
      </w:r>
      <w:r w:rsidR="00EF4CAD" w:rsidRPr="00F87467">
        <w:rPr>
          <w:rFonts w:ascii="Times New Roman" w:hAnsi="Times New Roman" w:cs="Times New Roman"/>
          <w:sz w:val="24"/>
          <w:szCs w:val="24"/>
        </w:rPr>
        <w:t xml:space="preserve"> known to have a pesticid</w:t>
      </w:r>
      <w:r w:rsidR="000C76E5" w:rsidRPr="00F87467">
        <w:rPr>
          <w:rFonts w:ascii="Times New Roman" w:hAnsi="Times New Roman" w:cs="Times New Roman"/>
          <w:sz w:val="24"/>
          <w:szCs w:val="24"/>
        </w:rPr>
        <w:t>al or other plant protection</w:t>
      </w:r>
      <w:r w:rsidR="00EF4CAD" w:rsidRPr="00F87467">
        <w:rPr>
          <w:rFonts w:ascii="Times New Roman" w:hAnsi="Times New Roman" w:cs="Times New Roman"/>
          <w:sz w:val="24"/>
          <w:szCs w:val="24"/>
        </w:rPr>
        <w:t xml:space="preserve"> effect, it could still be covered by </w:t>
      </w:r>
      <w:r w:rsidR="004531BA" w:rsidRPr="00F87467">
        <w:rPr>
          <w:rFonts w:ascii="Times New Roman" w:hAnsi="Times New Roman" w:cs="Times New Roman"/>
          <w:sz w:val="24"/>
          <w:szCs w:val="24"/>
        </w:rPr>
        <w:t xml:space="preserve">the </w:t>
      </w:r>
      <w:hyperlink r:id="rId20" w:history="1">
        <w:r w:rsidR="00EF4CAD" w:rsidRPr="00D53265">
          <w:rPr>
            <w:rStyle w:val="Hyperlink"/>
            <w:rFonts w:ascii="Times New Roman" w:hAnsi="Times New Roman" w:cs="Times New Roman"/>
            <w:sz w:val="24"/>
            <w:szCs w:val="24"/>
          </w:rPr>
          <w:t>FPR</w:t>
        </w:r>
      </w:hyperlink>
      <w:r w:rsidR="00EF4CAD" w:rsidRPr="00F87467">
        <w:rPr>
          <w:rFonts w:ascii="Times New Roman" w:hAnsi="Times New Roman" w:cs="Times New Roman"/>
          <w:sz w:val="24"/>
          <w:szCs w:val="24"/>
        </w:rPr>
        <w:t xml:space="preserve">, as long </w:t>
      </w:r>
      <w:r w:rsidR="004531BA" w:rsidRPr="00F87467">
        <w:rPr>
          <w:rFonts w:ascii="Times New Roman" w:hAnsi="Times New Roman" w:cs="Times New Roman"/>
          <w:sz w:val="24"/>
          <w:szCs w:val="24"/>
        </w:rPr>
        <w:t xml:space="preserve">as </w:t>
      </w:r>
      <w:r w:rsidR="00EF4CAD" w:rsidRPr="00F87467">
        <w:rPr>
          <w:rFonts w:ascii="Times New Roman" w:hAnsi="Times New Roman" w:cs="Times New Roman"/>
          <w:sz w:val="24"/>
          <w:szCs w:val="24"/>
        </w:rPr>
        <w:t xml:space="preserve">this fertilising product does not </w:t>
      </w:r>
      <w:r w:rsidR="000D4114" w:rsidRPr="00F87467">
        <w:rPr>
          <w:rFonts w:ascii="Times New Roman" w:hAnsi="Times New Roman" w:cs="Times New Roman"/>
          <w:sz w:val="24"/>
          <w:szCs w:val="24"/>
        </w:rPr>
        <w:t xml:space="preserve">have </w:t>
      </w:r>
      <w:r w:rsidR="00EF4CAD" w:rsidRPr="00F87467">
        <w:rPr>
          <w:rFonts w:ascii="Times New Roman" w:hAnsi="Times New Roman" w:cs="Times New Roman"/>
          <w:sz w:val="24"/>
          <w:szCs w:val="24"/>
        </w:rPr>
        <w:t xml:space="preserve">a </w:t>
      </w:r>
      <w:r w:rsidR="001D6FDF" w:rsidRPr="00F87467">
        <w:rPr>
          <w:rFonts w:ascii="Times New Roman" w:hAnsi="Times New Roman" w:cs="Times New Roman"/>
          <w:sz w:val="24"/>
          <w:szCs w:val="24"/>
        </w:rPr>
        <w:t xml:space="preserve">pesticidal or other </w:t>
      </w:r>
      <w:r w:rsidR="00EF4CAD" w:rsidRPr="00F87467">
        <w:rPr>
          <w:rFonts w:ascii="Times New Roman" w:hAnsi="Times New Roman" w:cs="Times New Roman"/>
          <w:sz w:val="24"/>
          <w:szCs w:val="24"/>
        </w:rPr>
        <w:t>plant protection function</w:t>
      </w:r>
      <w:r w:rsidR="000D4114" w:rsidRPr="00F87467">
        <w:rPr>
          <w:rFonts w:ascii="Times New Roman" w:hAnsi="Times New Roman" w:cs="Times New Roman"/>
          <w:sz w:val="24"/>
          <w:szCs w:val="24"/>
        </w:rPr>
        <w:t xml:space="preserve"> within the meaning of the </w:t>
      </w:r>
      <w:hyperlink r:id="rId21" w:history="1">
        <w:r w:rsidR="00183277" w:rsidRPr="001041E0">
          <w:rPr>
            <w:rStyle w:val="Hyperlink"/>
            <w:rFonts w:ascii="Times New Roman" w:hAnsi="Times New Roman" w:cs="Times New Roman"/>
            <w:sz w:val="24"/>
            <w:szCs w:val="24"/>
          </w:rPr>
          <w:t>PPPR</w:t>
        </w:r>
      </w:hyperlink>
      <w:r w:rsidR="00EF4CAD" w:rsidRPr="00F87467">
        <w:rPr>
          <w:rFonts w:ascii="Times New Roman" w:hAnsi="Times New Roman" w:cs="Times New Roman"/>
          <w:sz w:val="24"/>
          <w:szCs w:val="24"/>
        </w:rPr>
        <w:t>.</w:t>
      </w:r>
      <w:r w:rsidR="002351AB" w:rsidRPr="00F87467">
        <w:rPr>
          <w:rFonts w:ascii="Times New Roman" w:hAnsi="Times New Roman" w:cs="Times New Roman"/>
          <w:sz w:val="24"/>
          <w:szCs w:val="24"/>
        </w:rPr>
        <w:t xml:space="preserve"> </w:t>
      </w:r>
    </w:p>
    <w:p w14:paraId="28FB8C00" w14:textId="3EF7A58A" w:rsidR="00982A6F" w:rsidRDefault="00982A6F" w:rsidP="00F87467">
      <w:pPr>
        <w:tabs>
          <w:tab w:val="left" w:pos="426"/>
        </w:tabs>
        <w:spacing w:before="60" w:after="60"/>
        <w:jc w:val="both"/>
        <w:rPr>
          <w:rFonts w:ascii="Times New Roman" w:hAnsi="Times New Roman" w:cs="Times New Roman"/>
          <w:sz w:val="24"/>
          <w:szCs w:val="24"/>
        </w:rPr>
      </w:pPr>
      <w:r>
        <w:rPr>
          <w:rFonts w:ascii="Times New Roman" w:hAnsi="Times New Roman" w:cs="Times New Roman"/>
          <w:sz w:val="24"/>
          <w:szCs w:val="24"/>
        </w:rPr>
        <w:t xml:space="preserve">Function is described in Article 2 of </w:t>
      </w:r>
      <w:r w:rsidR="00A01787">
        <w:rPr>
          <w:rFonts w:ascii="Times New Roman" w:hAnsi="Times New Roman" w:cs="Times New Roman"/>
          <w:sz w:val="24"/>
          <w:szCs w:val="24"/>
        </w:rPr>
        <w:t xml:space="preserve">the </w:t>
      </w:r>
      <w:hyperlink r:id="rId22" w:history="1">
        <w:r w:rsidR="00A01787" w:rsidRPr="001041E0">
          <w:rPr>
            <w:rStyle w:val="Hyperlink"/>
            <w:rFonts w:ascii="Times New Roman" w:hAnsi="Times New Roman" w:cs="Times New Roman"/>
            <w:sz w:val="24"/>
            <w:szCs w:val="24"/>
          </w:rPr>
          <w:t>PPPR</w:t>
        </w:r>
      </w:hyperlink>
      <w:r>
        <w:rPr>
          <w:rFonts w:ascii="Times New Roman" w:hAnsi="Times New Roman" w:cs="Times New Roman"/>
          <w:sz w:val="24"/>
          <w:szCs w:val="24"/>
        </w:rPr>
        <w:t xml:space="preserve">. This does not mean that a substance or a microorganism does not possess </w:t>
      </w:r>
      <w:r w:rsidR="00A01787">
        <w:rPr>
          <w:rFonts w:ascii="Times New Roman" w:hAnsi="Times New Roman" w:cs="Times New Roman"/>
          <w:sz w:val="24"/>
          <w:szCs w:val="24"/>
        </w:rPr>
        <w:t>any</w:t>
      </w:r>
      <w:r>
        <w:rPr>
          <w:rFonts w:ascii="Times New Roman" w:hAnsi="Times New Roman" w:cs="Times New Roman"/>
          <w:sz w:val="24"/>
          <w:szCs w:val="24"/>
        </w:rPr>
        <w:t xml:space="preserve"> intrinsic pesticide property.</w:t>
      </w:r>
    </w:p>
    <w:p w14:paraId="3062B703" w14:textId="77777777" w:rsidR="000F6888" w:rsidRPr="00F87467" w:rsidRDefault="000F6888" w:rsidP="00F87467">
      <w:pPr>
        <w:tabs>
          <w:tab w:val="left" w:pos="426"/>
        </w:tabs>
        <w:spacing w:before="60" w:after="60"/>
        <w:jc w:val="both"/>
        <w:rPr>
          <w:rFonts w:ascii="Times New Roman" w:hAnsi="Times New Roman" w:cs="Times New Roman"/>
          <w:sz w:val="24"/>
          <w:szCs w:val="24"/>
        </w:rPr>
      </w:pPr>
    </w:p>
    <w:p w14:paraId="5BF98473" w14:textId="1F8E585C" w:rsidR="004B4197" w:rsidRPr="00F87467" w:rsidRDefault="004B4197" w:rsidP="00F87467">
      <w:pPr>
        <w:pStyle w:val="Heading2"/>
        <w:spacing w:before="60" w:after="60" w:line="276" w:lineRule="auto"/>
      </w:pPr>
      <w:bookmarkStart w:id="5" w:name="_Toc59185370"/>
      <w:r w:rsidRPr="00F87467">
        <w:lastRenderedPageBreak/>
        <w:t xml:space="preserve">Are organic fertilisers in the meaning of the </w:t>
      </w:r>
      <w:r w:rsidR="006215C9" w:rsidRPr="00F87467">
        <w:t xml:space="preserve">ABPR </w:t>
      </w:r>
      <w:r w:rsidRPr="00F87467">
        <w:t xml:space="preserve">covered by the </w:t>
      </w:r>
      <w:r w:rsidR="00AB4F02" w:rsidRPr="00F87467">
        <w:t>FPR</w:t>
      </w:r>
      <w:r w:rsidRPr="00F87467">
        <w:t>?</w:t>
      </w:r>
      <w:bookmarkEnd w:id="5"/>
    </w:p>
    <w:p w14:paraId="44CB7B50" w14:textId="4FF2169E" w:rsidR="00AB4F02" w:rsidRPr="00F87467" w:rsidRDefault="00DB3539" w:rsidP="00F87467">
      <w:pPr>
        <w:tabs>
          <w:tab w:val="left" w:pos="426"/>
        </w:tabs>
        <w:spacing w:before="60" w:after="60"/>
        <w:jc w:val="both"/>
        <w:rPr>
          <w:rFonts w:ascii="Times New Roman" w:hAnsi="Times New Roman" w:cs="Times New Roman"/>
          <w:sz w:val="24"/>
          <w:szCs w:val="24"/>
        </w:rPr>
      </w:pPr>
      <w:r w:rsidRPr="001E73C0">
        <w:rPr>
          <w:rFonts w:ascii="Times New Roman" w:hAnsi="Times New Roman" w:cs="Times New Roman"/>
          <w:sz w:val="24"/>
          <w:szCs w:val="24"/>
        </w:rPr>
        <w:t>Currently</w:t>
      </w:r>
      <w:r w:rsidR="00BD1DBC" w:rsidRPr="001E73C0">
        <w:rPr>
          <w:rFonts w:ascii="Times New Roman" w:hAnsi="Times New Roman" w:cs="Times New Roman"/>
          <w:sz w:val="24"/>
          <w:szCs w:val="24"/>
        </w:rPr>
        <w:t>,</w:t>
      </w:r>
      <w:r w:rsidRPr="001E73C0">
        <w:rPr>
          <w:rFonts w:ascii="Times New Roman" w:hAnsi="Times New Roman" w:cs="Times New Roman"/>
          <w:sz w:val="24"/>
          <w:szCs w:val="24"/>
        </w:rPr>
        <w:t xml:space="preserve"> derived products within the meaning of the </w:t>
      </w:r>
      <w:hyperlink r:id="rId23" w:history="1">
        <w:r w:rsidR="00591E39" w:rsidRPr="001E73C0">
          <w:rPr>
            <w:rStyle w:val="Hyperlink"/>
            <w:rFonts w:ascii="Times New Roman" w:hAnsi="Times New Roman" w:cs="Times New Roman"/>
            <w:sz w:val="24"/>
            <w:szCs w:val="24"/>
          </w:rPr>
          <w:t>ABPR</w:t>
        </w:r>
      </w:hyperlink>
      <w:r w:rsidRPr="001E73C0">
        <w:rPr>
          <w:rFonts w:ascii="Times New Roman" w:hAnsi="Times New Roman" w:cs="Times New Roman"/>
          <w:sz w:val="24"/>
          <w:szCs w:val="24"/>
        </w:rPr>
        <w:t xml:space="preserve"> are placed on the market as organic fertilisers, and soil improvers</w:t>
      </w:r>
      <w:r w:rsidR="00BD1DBC" w:rsidRPr="001E73C0">
        <w:rPr>
          <w:rFonts w:ascii="Times New Roman" w:hAnsi="Times New Roman" w:cs="Times New Roman"/>
          <w:sz w:val="24"/>
          <w:szCs w:val="24"/>
        </w:rPr>
        <w:t xml:space="preserve"> (‘OFSI’)</w:t>
      </w:r>
      <w:r w:rsidRPr="001E73C0">
        <w:rPr>
          <w:rFonts w:ascii="Times New Roman" w:hAnsi="Times New Roman" w:cs="Times New Roman"/>
          <w:sz w:val="24"/>
          <w:szCs w:val="24"/>
        </w:rPr>
        <w:t xml:space="preserve">, in accordance with the provisions laid down in that Regulation. </w:t>
      </w:r>
      <w:r w:rsidR="0071703C" w:rsidRPr="001E73C0">
        <w:rPr>
          <w:rFonts w:ascii="Times New Roman" w:hAnsi="Times New Roman" w:cs="Times New Roman"/>
          <w:sz w:val="24"/>
          <w:szCs w:val="24"/>
        </w:rPr>
        <w:t xml:space="preserve">These </w:t>
      </w:r>
      <w:r w:rsidR="000F6888" w:rsidRPr="001E73C0">
        <w:rPr>
          <w:rFonts w:ascii="Times New Roman" w:hAnsi="Times New Roman" w:cs="Times New Roman"/>
          <w:sz w:val="24"/>
          <w:szCs w:val="24"/>
        </w:rPr>
        <w:t xml:space="preserve">derived </w:t>
      </w:r>
      <w:r w:rsidR="0071703C" w:rsidRPr="001E73C0">
        <w:rPr>
          <w:rFonts w:ascii="Times New Roman" w:hAnsi="Times New Roman" w:cs="Times New Roman"/>
          <w:sz w:val="24"/>
          <w:szCs w:val="24"/>
        </w:rPr>
        <w:t>products</w:t>
      </w:r>
      <w:r w:rsidR="000F6888" w:rsidRPr="001E73C0">
        <w:rPr>
          <w:rFonts w:ascii="Times New Roman" w:hAnsi="Times New Roman" w:cs="Times New Roman"/>
          <w:sz w:val="24"/>
          <w:szCs w:val="24"/>
        </w:rPr>
        <w:t xml:space="preserve"> placed on the market solely under the </w:t>
      </w:r>
      <w:hyperlink r:id="rId24" w:history="1">
        <w:r w:rsidR="000F6888" w:rsidRPr="001E73C0">
          <w:rPr>
            <w:rStyle w:val="Hyperlink"/>
            <w:rFonts w:ascii="Times New Roman" w:hAnsi="Times New Roman" w:cs="Times New Roman"/>
            <w:sz w:val="24"/>
            <w:szCs w:val="24"/>
          </w:rPr>
          <w:t>ABPR</w:t>
        </w:r>
      </w:hyperlink>
      <w:r w:rsidR="0071703C" w:rsidRPr="001E73C0">
        <w:rPr>
          <w:rFonts w:ascii="Times New Roman" w:hAnsi="Times New Roman" w:cs="Times New Roman"/>
          <w:sz w:val="24"/>
          <w:szCs w:val="24"/>
        </w:rPr>
        <w:t xml:space="preserve"> are not CE marked.</w:t>
      </w:r>
      <w:r w:rsidR="0071703C" w:rsidRPr="00F87467">
        <w:rPr>
          <w:rFonts w:ascii="Times New Roman" w:hAnsi="Times New Roman" w:cs="Times New Roman"/>
          <w:sz w:val="24"/>
          <w:szCs w:val="24"/>
        </w:rPr>
        <w:t xml:space="preserve"> </w:t>
      </w:r>
    </w:p>
    <w:p w14:paraId="57BEBB00" w14:textId="40F8457A" w:rsidR="0078138F" w:rsidRPr="00F87467" w:rsidRDefault="0071703C"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These </w:t>
      </w:r>
      <w:r w:rsidR="00122496">
        <w:rPr>
          <w:rFonts w:ascii="Times New Roman" w:hAnsi="Times New Roman" w:cs="Times New Roman"/>
          <w:sz w:val="24"/>
          <w:szCs w:val="24"/>
        </w:rPr>
        <w:t xml:space="preserve">ABPR </w:t>
      </w:r>
      <w:r w:rsidRPr="00F87467">
        <w:rPr>
          <w:rFonts w:ascii="Times New Roman" w:hAnsi="Times New Roman" w:cs="Times New Roman"/>
          <w:sz w:val="24"/>
          <w:szCs w:val="24"/>
        </w:rPr>
        <w:t xml:space="preserve">notions </w:t>
      </w:r>
      <w:r w:rsidR="00D833BA" w:rsidRPr="00F87467">
        <w:rPr>
          <w:rFonts w:ascii="Times New Roman" w:hAnsi="Times New Roman" w:cs="Times New Roman"/>
          <w:sz w:val="24"/>
          <w:szCs w:val="24"/>
        </w:rPr>
        <w:t>differ</w:t>
      </w:r>
      <w:r w:rsidRPr="00F87467">
        <w:rPr>
          <w:rFonts w:ascii="Times New Roman" w:hAnsi="Times New Roman" w:cs="Times New Roman"/>
          <w:sz w:val="24"/>
          <w:szCs w:val="24"/>
        </w:rPr>
        <w:t xml:space="preserve"> from the notions of ‘organic fertiliser’ and ‘organic soil improver’ in the </w:t>
      </w:r>
      <w:hyperlink r:id="rId25"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where they are defined as product function categories. </w:t>
      </w:r>
    </w:p>
    <w:p w14:paraId="74C89782" w14:textId="38CF7D63" w:rsidR="005B10B9" w:rsidRPr="00F87467" w:rsidRDefault="005B10B9"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A product containing derived products within the meaning of the </w:t>
      </w:r>
      <w:hyperlink r:id="rId26" w:history="1">
        <w:r w:rsidRPr="001041E0">
          <w:rPr>
            <w:rStyle w:val="Hyperlink"/>
            <w:rFonts w:ascii="Times New Roman" w:hAnsi="Times New Roman" w:cs="Times New Roman"/>
            <w:sz w:val="24"/>
            <w:szCs w:val="24"/>
          </w:rPr>
          <w:t>ABPR</w:t>
        </w:r>
      </w:hyperlink>
      <w:r w:rsidRPr="00F87467">
        <w:rPr>
          <w:rFonts w:ascii="Times New Roman" w:hAnsi="Times New Roman" w:cs="Times New Roman"/>
          <w:sz w:val="24"/>
          <w:szCs w:val="24"/>
        </w:rPr>
        <w:t>:</w:t>
      </w:r>
    </w:p>
    <w:p w14:paraId="03AE0E79" w14:textId="0D9E70D3" w:rsidR="005B10B9" w:rsidRPr="00F87467" w:rsidRDefault="005B10B9" w:rsidP="00E717A1">
      <w:pPr>
        <w:pStyle w:val="ListParagraph"/>
        <w:numPr>
          <w:ilvl w:val="0"/>
          <w:numId w:val="13"/>
        </w:numPr>
        <w:tabs>
          <w:tab w:val="left" w:pos="426"/>
        </w:tabs>
        <w:spacing w:before="60" w:after="60" w:line="276" w:lineRule="auto"/>
        <w:jc w:val="both"/>
        <w:rPr>
          <w:szCs w:val="24"/>
          <w:lang w:val="en-GB"/>
        </w:rPr>
      </w:pPr>
      <w:r w:rsidRPr="00F87467">
        <w:rPr>
          <w:szCs w:val="24"/>
          <w:lang w:val="en-GB"/>
        </w:rPr>
        <w:t xml:space="preserve">may be placed on the market as a national/non-harmonised fertiliser in the conditions set under national legislation and complying with the special requirements in the </w:t>
      </w:r>
      <w:hyperlink r:id="rId27" w:history="1">
        <w:r w:rsidRPr="001041E0">
          <w:rPr>
            <w:rStyle w:val="Hyperlink"/>
            <w:szCs w:val="24"/>
            <w:lang w:val="en-GB"/>
          </w:rPr>
          <w:t>ABPR</w:t>
        </w:r>
      </w:hyperlink>
    </w:p>
    <w:p w14:paraId="1B18C345" w14:textId="0A0607D4" w:rsidR="005B10B9" w:rsidRPr="00F87467" w:rsidRDefault="005B10B9" w:rsidP="00E717A1">
      <w:pPr>
        <w:pStyle w:val="ListParagraph"/>
        <w:numPr>
          <w:ilvl w:val="0"/>
          <w:numId w:val="13"/>
        </w:numPr>
        <w:tabs>
          <w:tab w:val="left" w:pos="426"/>
        </w:tabs>
        <w:spacing w:before="60" w:after="60" w:line="276" w:lineRule="auto"/>
        <w:jc w:val="both"/>
        <w:rPr>
          <w:szCs w:val="24"/>
          <w:lang w:val="en-GB"/>
        </w:rPr>
      </w:pPr>
      <w:r w:rsidRPr="00F87467">
        <w:rPr>
          <w:szCs w:val="24"/>
          <w:lang w:val="en-GB"/>
        </w:rPr>
        <w:t xml:space="preserve"> </w:t>
      </w:r>
      <w:r w:rsidR="004765C2" w:rsidRPr="00F87467">
        <w:rPr>
          <w:szCs w:val="24"/>
          <w:lang w:val="en-GB"/>
        </w:rPr>
        <w:t>may in future be placed on the market as an EU fertilising product if the conditions described in question</w:t>
      </w:r>
      <w:r w:rsidR="007339B0" w:rsidRPr="00F87467">
        <w:rPr>
          <w:szCs w:val="24"/>
          <w:lang w:val="en-GB"/>
        </w:rPr>
        <w:t xml:space="preserve"> 8.</w:t>
      </w:r>
      <w:r w:rsidR="00E864CA">
        <w:rPr>
          <w:szCs w:val="24"/>
          <w:lang w:val="en-GB"/>
        </w:rPr>
        <w:t>10</w:t>
      </w:r>
      <w:r w:rsidR="007339B0">
        <w:rPr>
          <w:szCs w:val="24"/>
          <w:lang w:val="en-GB"/>
        </w:rPr>
        <w:t xml:space="preserve"> a</w:t>
      </w:r>
      <w:r w:rsidR="004765C2" w:rsidRPr="00F87467">
        <w:rPr>
          <w:szCs w:val="24"/>
          <w:lang w:val="en-GB"/>
        </w:rPr>
        <w:t xml:space="preserve">re met.  </w:t>
      </w:r>
    </w:p>
    <w:p w14:paraId="56A9E9D5" w14:textId="77777777" w:rsidR="00493DAD" w:rsidRPr="00F87467" w:rsidRDefault="00493DAD" w:rsidP="00F87467">
      <w:pPr>
        <w:tabs>
          <w:tab w:val="left" w:pos="426"/>
        </w:tabs>
        <w:spacing w:before="60" w:after="60"/>
        <w:jc w:val="both"/>
        <w:rPr>
          <w:rFonts w:ascii="Times New Roman" w:hAnsi="Times New Roman" w:cs="Times New Roman"/>
          <w:sz w:val="24"/>
          <w:szCs w:val="24"/>
        </w:rPr>
      </w:pPr>
    </w:p>
    <w:p w14:paraId="0FBFF6BC" w14:textId="3EC43A89" w:rsidR="00DC73E3" w:rsidRPr="00F87467" w:rsidRDefault="008F2EB0" w:rsidP="00F87467">
      <w:pPr>
        <w:pStyle w:val="Heading2"/>
        <w:spacing w:before="60" w:after="60" w:line="276" w:lineRule="auto"/>
      </w:pPr>
      <w:bookmarkStart w:id="6" w:name="_Toc59185371"/>
      <w:r w:rsidRPr="00F87467">
        <w:t>Is an organic fertiliser</w:t>
      </w:r>
      <w:r w:rsidR="0055635E" w:rsidRPr="00F87467">
        <w:t xml:space="preserve"> or an organic soil improver</w:t>
      </w:r>
      <w:r w:rsidRPr="00F87467">
        <w:t xml:space="preserve"> as set out in the </w:t>
      </w:r>
      <w:r w:rsidR="009B2C82" w:rsidRPr="00F87467">
        <w:t>FPR</w:t>
      </w:r>
      <w:r w:rsidRPr="00F87467">
        <w:t xml:space="preserve"> allowed to be used </w:t>
      </w:r>
      <w:r w:rsidR="00E646DA" w:rsidRPr="00F87467">
        <w:t xml:space="preserve">in </w:t>
      </w:r>
      <w:r w:rsidRPr="00F87467">
        <w:t xml:space="preserve">organic </w:t>
      </w:r>
      <w:r w:rsidR="00E646DA" w:rsidRPr="00F87467">
        <w:t xml:space="preserve">farming </w:t>
      </w:r>
      <w:r w:rsidRPr="00F87467">
        <w:t>production?</w:t>
      </w:r>
      <w:bookmarkEnd w:id="6"/>
      <w:r w:rsidRPr="00F87467">
        <w:t xml:space="preserve"> </w:t>
      </w:r>
    </w:p>
    <w:p w14:paraId="6A5CB551" w14:textId="38DE67ED" w:rsidR="00E646DA" w:rsidRPr="00F87467" w:rsidRDefault="008F2EB0" w:rsidP="00F87467">
      <w:pPr>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An organic fertiliser </w:t>
      </w:r>
      <w:r w:rsidR="008C16AF" w:rsidRPr="00F87467">
        <w:rPr>
          <w:rFonts w:ascii="Times New Roman" w:hAnsi="Times New Roman" w:cs="Times New Roman"/>
          <w:sz w:val="24"/>
          <w:szCs w:val="24"/>
        </w:rPr>
        <w:t xml:space="preserve">or an organic soil improver </w:t>
      </w:r>
      <w:r w:rsidRPr="00F87467">
        <w:rPr>
          <w:rFonts w:ascii="Times New Roman" w:hAnsi="Times New Roman" w:cs="Times New Roman"/>
          <w:sz w:val="24"/>
          <w:szCs w:val="24"/>
        </w:rPr>
        <w:t xml:space="preserve">in the meaning of </w:t>
      </w:r>
      <w:r w:rsidR="0055635E" w:rsidRPr="00F87467">
        <w:rPr>
          <w:rFonts w:ascii="Times New Roman" w:hAnsi="Times New Roman" w:cs="Times New Roman"/>
          <w:sz w:val="24"/>
          <w:szCs w:val="24"/>
        </w:rPr>
        <w:t xml:space="preserve">the </w:t>
      </w:r>
      <w:hyperlink r:id="rId28"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w:t>
      </w:r>
      <w:r w:rsidR="00123049" w:rsidRPr="00F87467">
        <w:rPr>
          <w:rFonts w:ascii="Times New Roman" w:hAnsi="Times New Roman" w:cs="Times New Roman"/>
          <w:sz w:val="24"/>
          <w:szCs w:val="24"/>
        </w:rPr>
        <w:t xml:space="preserve">has a specific definition and needs to comply with all related requirements as set in the provisions of </w:t>
      </w:r>
      <w:r w:rsidR="0055635E" w:rsidRPr="00F87467">
        <w:rPr>
          <w:rFonts w:ascii="Times New Roman" w:hAnsi="Times New Roman" w:cs="Times New Roman"/>
          <w:sz w:val="24"/>
          <w:szCs w:val="24"/>
        </w:rPr>
        <w:t xml:space="preserve">the </w:t>
      </w:r>
      <w:hyperlink r:id="rId29" w:history="1">
        <w:r w:rsidR="00123049" w:rsidRPr="00D53265">
          <w:rPr>
            <w:rStyle w:val="Hyperlink"/>
            <w:rFonts w:ascii="Times New Roman" w:hAnsi="Times New Roman" w:cs="Times New Roman"/>
            <w:sz w:val="24"/>
            <w:szCs w:val="24"/>
          </w:rPr>
          <w:t>FPR</w:t>
        </w:r>
      </w:hyperlink>
      <w:r w:rsidR="001F4D5D" w:rsidRPr="00F87467">
        <w:rPr>
          <w:rFonts w:ascii="Times New Roman" w:hAnsi="Times New Roman" w:cs="Times New Roman"/>
          <w:sz w:val="24"/>
          <w:szCs w:val="24"/>
        </w:rPr>
        <w:t>.</w:t>
      </w:r>
      <w:r w:rsidR="00123049" w:rsidRPr="00F87467">
        <w:rPr>
          <w:rFonts w:ascii="Times New Roman" w:hAnsi="Times New Roman" w:cs="Times New Roman"/>
          <w:sz w:val="24"/>
          <w:szCs w:val="24"/>
        </w:rPr>
        <w:t xml:space="preserve"> </w:t>
      </w:r>
      <w:r w:rsidR="001F4D5D" w:rsidRPr="00F87467">
        <w:rPr>
          <w:rFonts w:ascii="Times New Roman" w:hAnsi="Times New Roman" w:cs="Times New Roman"/>
          <w:sz w:val="24"/>
          <w:szCs w:val="24"/>
        </w:rPr>
        <w:t xml:space="preserve">This </w:t>
      </w:r>
      <w:r w:rsidR="00123049" w:rsidRPr="00F87467">
        <w:rPr>
          <w:rFonts w:ascii="Times New Roman" w:hAnsi="Times New Roman" w:cs="Times New Roman"/>
          <w:sz w:val="24"/>
          <w:szCs w:val="24"/>
        </w:rPr>
        <w:t xml:space="preserve">is independent of the </w:t>
      </w:r>
      <w:r w:rsidR="001F4D5D" w:rsidRPr="00F87467">
        <w:rPr>
          <w:rFonts w:ascii="Times New Roman" w:hAnsi="Times New Roman" w:cs="Times New Roman"/>
          <w:sz w:val="24"/>
          <w:szCs w:val="24"/>
        </w:rPr>
        <w:t>acceptance</w:t>
      </w:r>
      <w:r w:rsidR="00123049" w:rsidRPr="00F87467">
        <w:rPr>
          <w:rFonts w:ascii="Times New Roman" w:hAnsi="Times New Roman" w:cs="Times New Roman"/>
          <w:sz w:val="24"/>
          <w:szCs w:val="24"/>
        </w:rPr>
        <w:t xml:space="preserve"> of a fertiliser </w:t>
      </w:r>
      <w:r w:rsidR="009B2C82" w:rsidRPr="00F87467">
        <w:rPr>
          <w:rFonts w:ascii="Times New Roman" w:hAnsi="Times New Roman" w:cs="Times New Roman"/>
          <w:sz w:val="24"/>
          <w:szCs w:val="24"/>
        </w:rPr>
        <w:t xml:space="preserve">or soil conditioner </w:t>
      </w:r>
      <w:r w:rsidR="00123049" w:rsidRPr="00F87467">
        <w:rPr>
          <w:rFonts w:ascii="Times New Roman" w:hAnsi="Times New Roman" w:cs="Times New Roman"/>
          <w:sz w:val="24"/>
          <w:szCs w:val="24"/>
        </w:rPr>
        <w:t>for use in organic production</w:t>
      </w:r>
      <w:r w:rsidR="00982A6F">
        <w:rPr>
          <w:rFonts w:ascii="Times New Roman" w:hAnsi="Times New Roman" w:cs="Times New Roman"/>
          <w:sz w:val="24"/>
          <w:szCs w:val="24"/>
        </w:rPr>
        <w:t>.</w:t>
      </w:r>
    </w:p>
    <w:p w14:paraId="3BBA8A84" w14:textId="795A89EA" w:rsidR="005743B6" w:rsidRPr="00F87467" w:rsidRDefault="001F4D5D" w:rsidP="00F87467">
      <w:pPr>
        <w:spacing w:before="60" w:after="60"/>
        <w:jc w:val="both"/>
        <w:rPr>
          <w:rFonts w:ascii="Times New Roman" w:hAnsi="Times New Roman" w:cs="Times New Roman"/>
          <w:sz w:val="24"/>
          <w:szCs w:val="24"/>
        </w:rPr>
      </w:pPr>
      <w:r w:rsidRPr="00F87467">
        <w:rPr>
          <w:rFonts w:ascii="Times New Roman" w:hAnsi="Times New Roman" w:cs="Times New Roman"/>
          <w:sz w:val="24"/>
          <w:szCs w:val="24"/>
        </w:rPr>
        <w:t>F</w:t>
      </w:r>
      <w:r w:rsidR="008F2EB0" w:rsidRPr="00F87467">
        <w:rPr>
          <w:rFonts w:ascii="Times New Roman" w:hAnsi="Times New Roman" w:cs="Times New Roman"/>
          <w:sz w:val="24"/>
          <w:szCs w:val="24"/>
        </w:rPr>
        <w:t>ertilisers</w:t>
      </w:r>
      <w:r w:rsidRPr="00F87467">
        <w:rPr>
          <w:rFonts w:ascii="Times New Roman" w:hAnsi="Times New Roman" w:cs="Times New Roman"/>
          <w:sz w:val="24"/>
          <w:szCs w:val="24"/>
        </w:rPr>
        <w:t xml:space="preserve"> and</w:t>
      </w:r>
      <w:r w:rsidR="009A67D6" w:rsidRPr="00F87467">
        <w:rPr>
          <w:rFonts w:ascii="Times New Roman" w:hAnsi="Times New Roman" w:cs="Times New Roman"/>
          <w:sz w:val="24"/>
          <w:szCs w:val="24"/>
        </w:rPr>
        <w:t xml:space="preserve"> soil conditioners </w:t>
      </w:r>
      <w:r w:rsidR="008F2EB0" w:rsidRPr="00F87467">
        <w:rPr>
          <w:rFonts w:ascii="Times New Roman" w:hAnsi="Times New Roman" w:cs="Times New Roman"/>
          <w:sz w:val="24"/>
          <w:szCs w:val="24"/>
        </w:rPr>
        <w:t xml:space="preserve">that are </w:t>
      </w:r>
      <w:r w:rsidR="00123049" w:rsidRPr="00F87467">
        <w:rPr>
          <w:rFonts w:ascii="Times New Roman" w:hAnsi="Times New Roman" w:cs="Times New Roman"/>
          <w:sz w:val="24"/>
          <w:szCs w:val="24"/>
        </w:rPr>
        <w:t xml:space="preserve">authorised </w:t>
      </w:r>
      <w:r w:rsidR="008F2EB0" w:rsidRPr="00F87467">
        <w:rPr>
          <w:rFonts w:ascii="Times New Roman" w:hAnsi="Times New Roman" w:cs="Times New Roman"/>
          <w:sz w:val="24"/>
          <w:szCs w:val="24"/>
        </w:rPr>
        <w:t xml:space="preserve">in organic production are listed in Annex I </w:t>
      </w:r>
      <w:r w:rsidR="00FC451B" w:rsidRPr="00F87467">
        <w:rPr>
          <w:rFonts w:ascii="Times New Roman" w:hAnsi="Times New Roman" w:cs="Times New Roman"/>
          <w:sz w:val="24"/>
          <w:szCs w:val="24"/>
        </w:rPr>
        <w:t>to</w:t>
      </w:r>
      <w:r w:rsidR="008F2EB0" w:rsidRPr="00F87467">
        <w:rPr>
          <w:rFonts w:ascii="Times New Roman" w:hAnsi="Times New Roman" w:cs="Times New Roman"/>
          <w:sz w:val="24"/>
          <w:szCs w:val="24"/>
        </w:rPr>
        <w:t xml:space="preserve"> </w:t>
      </w:r>
      <w:hyperlink r:id="rId30" w:history="1">
        <w:r w:rsidR="008F2EB0" w:rsidRPr="00F87467">
          <w:rPr>
            <w:rStyle w:val="Hyperlink"/>
            <w:rFonts w:ascii="Times New Roman" w:hAnsi="Times New Roman" w:cs="Times New Roman"/>
            <w:color w:val="auto"/>
            <w:sz w:val="24"/>
            <w:szCs w:val="24"/>
          </w:rPr>
          <w:t>Regulation (EC) No 889/2008</w:t>
        </w:r>
      </w:hyperlink>
      <w:r w:rsidRPr="00F87467">
        <w:rPr>
          <w:rStyle w:val="Hyperlink"/>
          <w:rFonts w:ascii="Times New Roman" w:hAnsi="Times New Roman" w:cs="Times New Roman"/>
          <w:color w:val="auto"/>
          <w:sz w:val="24"/>
          <w:szCs w:val="24"/>
          <w:u w:val="none"/>
        </w:rPr>
        <w:t xml:space="preserve">. </w:t>
      </w:r>
      <w:r w:rsidR="00AC27EA">
        <w:rPr>
          <w:rStyle w:val="Hyperlink"/>
          <w:rFonts w:ascii="Times New Roman" w:hAnsi="Times New Roman" w:cs="Times New Roman"/>
          <w:color w:val="auto"/>
          <w:sz w:val="24"/>
          <w:szCs w:val="24"/>
          <w:u w:val="none"/>
        </w:rPr>
        <w:t xml:space="preserve">These products can be either harmonised products (currently marketed as EC fertilisers) or non-harmonised products (marketed under the national legislation). </w:t>
      </w:r>
      <w:r w:rsidRPr="00F87467">
        <w:rPr>
          <w:rStyle w:val="Hyperlink"/>
          <w:rFonts w:ascii="Times New Roman" w:hAnsi="Times New Roman" w:cs="Times New Roman"/>
          <w:color w:val="auto"/>
          <w:sz w:val="24"/>
          <w:szCs w:val="24"/>
          <w:u w:val="none"/>
        </w:rPr>
        <w:t>Annex</w:t>
      </w:r>
      <w:r w:rsidR="00AC27EA">
        <w:rPr>
          <w:rStyle w:val="Hyperlink"/>
          <w:rFonts w:ascii="Times New Roman" w:hAnsi="Times New Roman" w:cs="Times New Roman"/>
          <w:color w:val="auto"/>
          <w:sz w:val="24"/>
          <w:szCs w:val="24"/>
          <w:u w:val="none"/>
        </w:rPr>
        <w:t xml:space="preserve"> I </w:t>
      </w:r>
      <w:r w:rsidR="00AC27EA" w:rsidRPr="00AC27EA">
        <w:rPr>
          <w:rStyle w:val="Hyperlink"/>
          <w:rFonts w:ascii="Times New Roman" w:hAnsi="Times New Roman" w:cs="Times New Roman"/>
          <w:color w:val="auto"/>
          <w:sz w:val="24"/>
          <w:szCs w:val="24"/>
          <w:u w:val="none"/>
        </w:rPr>
        <w:t>to Regulation (EC) No 889/2008</w:t>
      </w:r>
      <w:r w:rsidRPr="00F87467">
        <w:rPr>
          <w:rStyle w:val="Hyperlink"/>
          <w:rFonts w:ascii="Times New Roman" w:hAnsi="Times New Roman" w:cs="Times New Roman"/>
          <w:color w:val="auto"/>
          <w:sz w:val="24"/>
          <w:szCs w:val="24"/>
          <w:u w:val="none"/>
        </w:rPr>
        <w:t xml:space="preserve"> is for the moment referring to certain EC fertilisers types defined in Regulation 2003/2003 and, therefore, it is under revision in order to align it with the </w:t>
      </w:r>
      <w:hyperlink r:id="rId31" w:history="1">
        <w:r w:rsidRPr="00D53265">
          <w:rPr>
            <w:rStyle w:val="Hyperlink"/>
            <w:rFonts w:ascii="Times New Roman" w:hAnsi="Times New Roman" w:cs="Times New Roman"/>
            <w:sz w:val="24"/>
            <w:szCs w:val="24"/>
          </w:rPr>
          <w:t>FPR</w:t>
        </w:r>
      </w:hyperlink>
      <w:r w:rsidRPr="00F87467">
        <w:rPr>
          <w:rStyle w:val="Hyperlink"/>
          <w:rFonts w:ascii="Times New Roman" w:hAnsi="Times New Roman" w:cs="Times New Roman"/>
          <w:color w:val="auto"/>
          <w:sz w:val="24"/>
          <w:szCs w:val="24"/>
          <w:u w:val="none"/>
        </w:rPr>
        <w:t>.</w:t>
      </w:r>
      <w:r w:rsidR="008F2EB0" w:rsidRPr="00F87467">
        <w:rPr>
          <w:rFonts w:ascii="Times New Roman" w:hAnsi="Times New Roman" w:cs="Times New Roman"/>
          <w:sz w:val="24"/>
          <w:szCs w:val="24"/>
        </w:rPr>
        <w:t xml:space="preserve"> </w:t>
      </w:r>
    </w:p>
    <w:p w14:paraId="40566E28" w14:textId="72F027AF" w:rsidR="008F2EB0" w:rsidRPr="00F87467" w:rsidRDefault="008F2EB0" w:rsidP="00F87467">
      <w:pPr>
        <w:spacing w:before="60" w:after="60"/>
        <w:jc w:val="both"/>
        <w:rPr>
          <w:rFonts w:ascii="Times New Roman" w:hAnsi="Times New Roman" w:cs="Times New Roman"/>
          <w:sz w:val="24"/>
          <w:szCs w:val="24"/>
        </w:rPr>
      </w:pPr>
      <w:r w:rsidRPr="00F87467">
        <w:rPr>
          <w:rFonts w:ascii="Times New Roman" w:hAnsi="Times New Roman" w:cs="Times New Roman"/>
          <w:sz w:val="24"/>
          <w:szCs w:val="24"/>
        </w:rPr>
        <w:t>It is, thus, important to clarify that the term “organic” in PFC</w:t>
      </w:r>
      <w:r w:rsidR="00C5026A" w:rsidRPr="00F87467">
        <w:rPr>
          <w:rFonts w:ascii="Times New Roman" w:hAnsi="Times New Roman" w:cs="Times New Roman"/>
          <w:sz w:val="24"/>
          <w:szCs w:val="24"/>
        </w:rPr>
        <w:t>s</w:t>
      </w:r>
      <w:r w:rsidRPr="00F87467">
        <w:rPr>
          <w:rFonts w:ascii="Times New Roman" w:hAnsi="Times New Roman" w:cs="Times New Roman"/>
          <w:sz w:val="24"/>
          <w:szCs w:val="24"/>
        </w:rPr>
        <w:t xml:space="preserve"> 1(</w:t>
      </w:r>
      <w:r w:rsidR="00C5026A" w:rsidRPr="00F87467">
        <w:rPr>
          <w:rFonts w:ascii="Times New Roman" w:hAnsi="Times New Roman" w:cs="Times New Roman"/>
          <w:sz w:val="24"/>
          <w:szCs w:val="24"/>
        </w:rPr>
        <w:t>A</w:t>
      </w:r>
      <w:r w:rsidRPr="00F87467">
        <w:rPr>
          <w:rFonts w:ascii="Times New Roman" w:hAnsi="Times New Roman" w:cs="Times New Roman"/>
          <w:sz w:val="24"/>
          <w:szCs w:val="24"/>
        </w:rPr>
        <w:t xml:space="preserve">) </w:t>
      </w:r>
      <w:r w:rsidR="00C5026A" w:rsidRPr="00F87467">
        <w:rPr>
          <w:rFonts w:ascii="Times New Roman" w:hAnsi="Times New Roman" w:cs="Times New Roman"/>
          <w:sz w:val="24"/>
          <w:szCs w:val="24"/>
        </w:rPr>
        <w:t xml:space="preserve">and 3(A) </w:t>
      </w:r>
      <w:r w:rsidRPr="00F87467">
        <w:rPr>
          <w:rFonts w:ascii="Times New Roman" w:hAnsi="Times New Roman" w:cs="Times New Roman"/>
          <w:sz w:val="24"/>
          <w:szCs w:val="24"/>
        </w:rPr>
        <w:t>should not be understood as related to organic production at all.</w:t>
      </w:r>
      <w:r w:rsidR="00FC451B" w:rsidRPr="00F87467">
        <w:rPr>
          <w:rFonts w:ascii="Times New Roman" w:hAnsi="Times New Roman" w:cs="Times New Roman"/>
          <w:sz w:val="24"/>
          <w:szCs w:val="24"/>
        </w:rPr>
        <w:t xml:space="preserve"> This being said, it is not excluded that a product can both comply with PFC</w:t>
      </w:r>
      <w:r w:rsidR="00C5026A" w:rsidRPr="00F87467">
        <w:rPr>
          <w:rFonts w:ascii="Times New Roman" w:hAnsi="Times New Roman" w:cs="Times New Roman"/>
          <w:sz w:val="24"/>
          <w:szCs w:val="24"/>
        </w:rPr>
        <w:t>s</w:t>
      </w:r>
      <w:r w:rsidR="00FC451B" w:rsidRPr="00F87467">
        <w:rPr>
          <w:rFonts w:ascii="Times New Roman" w:hAnsi="Times New Roman" w:cs="Times New Roman"/>
          <w:sz w:val="24"/>
          <w:szCs w:val="24"/>
        </w:rPr>
        <w:t> 1(</w:t>
      </w:r>
      <w:r w:rsidR="00C5026A" w:rsidRPr="00F87467">
        <w:rPr>
          <w:rFonts w:ascii="Times New Roman" w:hAnsi="Times New Roman" w:cs="Times New Roman"/>
          <w:sz w:val="24"/>
          <w:szCs w:val="24"/>
        </w:rPr>
        <w:t>A</w:t>
      </w:r>
      <w:r w:rsidR="00FC451B" w:rsidRPr="00F87467">
        <w:rPr>
          <w:rFonts w:ascii="Times New Roman" w:hAnsi="Times New Roman" w:cs="Times New Roman"/>
          <w:sz w:val="24"/>
          <w:szCs w:val="24"/>
        </w:rPr>
        <w:t>)</w:t>
      </w:r>
      <w:r w:rsidR="00C5026A" w:rsidRPr="00F87467">
        <w:rPr>
          <w:rFonts w:ascii="Times New Roman" w:hAnsi="Times New Roman" w:cs="Times New Roman"/>
          <w:sz w:val="24"/>
          <w:szCs w:val="24"/>
        </w:rPr>
        <w:t xml:space="preserve"> or 3(A)</w:t>
      </w:r>
      <w:r w:rsidR="00FC451B" w:rsidRPr="00F87467">
        <w:rPr>
          <w:rFonts w:ascii="Times New Roman" w:hAnsi="Times New Roman" w:cs="Times New Roman"/>
          <w:sz w:val="24"/>
          <w:szCs w:val="24"/>
        </w:rPr>
        <w:t xml:space="preserve"> in </w:t>
      </w:r>
      <w:r w:rsidR="0055635E" w:rsidRPr="00F87467">
        <w:rPr>
          <w:rFonts w:ascii="Times New Roman" w:hAnsi="Times New Roman" w:cs="Times New Roman"/>
          <w:sz w:val="24"/>
          <w:szCs w:val="24"/>
        </w:rPr>
        <w:t xml:space="preserve">the </w:t>
      </w:r>
      <w:hyperlink r:id="rId32" w:history="1">
        <w:r w:rsidR="00FC451B" w:rsidRPr="00D53265">
          <w:rPr>
            <w:rStyle w:val="Hyperlink"/>
            <w:rFonts w:ascii="Times New Roman" w:hAnsi="Times New Roman" w:cs="Times New Roman"/>
            <w:sz w:val="24"/>
            <w:szCs w:val="24"/>
          </w:rPr>
          <w:t>FPR</w:t>
        </w:r>
      </w:hyperlink>
      <w:r w:rsidR="00FC451B" w:rsidRPr="00F87467">
        <w:rPr>
          <w:rFonts w:ascii="Times New Roman" w:hAnsi="Times New Roman" w:cs="Times New Roman"/>
          <w:sz w:val="24"/>
          <w:szCs w:val="24"/>
        </w:rPr>
        <w:t xml:space="preserve"> and be listed in Annex I to Regulation (EC) No 889/2008.</w:t>
      </w:r>
      <w:r w:rsidR="009B2C82" w:rsidRPr="00F87467">
        <w:rPr>
          <w:rFonts w:ascii="Times New Roman" w:hAnsi="Times New Roman" w:cs="Times New Roman"/>
          <w:sz w:val="24"/>
          <w:szCs w:val="24"/>
        </w:rPr>
        <w:t xml:space="preserve"> </w:t>
      </w:r>
    </w:p>
    <w:p w14:paraId="4F758D37" w14:textId="77777777" w:rsidR="000909D6" w:rsidRPr="00F87467" w:rsidRDefault="000909D6" w:rsidP="00F87467">
      <w:pPr>
        <w:tabs>
          <w:tab w:val="left" w:pos="426"/>
        </w:tabs>
        <w:spacing w:before="60" w:after="60"/>
        <w:jc w:val="both"/>
        <w:rPr>
          <w:rFonts w:ascii="Times New Roman" w:hAnsi="Times New Roman" w:cs="Times New Roman"/>
          <w:sz w:val="24"/>
          <w:szCs w:val="24"/>
        </w:rPr>
      </w:pPr>
    </w:p>
    <w:p w14:paraId="13841518" w14:textId="7C0FAAC2" w:rsidR="00DC73E3" w:rsidRPr="00F87467" w:rsidRDefault="00DC73E3" w:rsidP="00F87467">
      <w:pPr>
        <w:pStyle w:val="Heading2"/>
        <w:spacing w:before="60" w:after="60" w:line="276" w:lineRule="auto"/>
      </w:pPr>
      <w:bookmarkStart w:id="7" w:name="_Toc59185372"/>
      <w:r w:rsidRPr="00F87467">
        <w:t xml:space="preserve">Does </w:t>
      </w:r>
      <w:r w:rsidR="009B2C82" w:rsidRPr="00F87467">
        <w:t xml:space="preserve">the </w:t>
      </w:r>
      <w:r w:rsidRPr="00F87467">
        <w:t>FPR cover fertilising products for seed treatment?</w:t>
      </w:r>
      <w:bookmarkEnd w:id="7"/>
      <w:r w:rsidRPr="00F87467">
        <w:t xml:space="preserve"> </w:t>
      </w:r>
    </w:p>
    <w:p w14:paraId="135A590C" w14:textId="67B0873D" w:rsidR="000909D6" w:rsidRDefault="000909D6" w:rsidP="00F87467">
      <w:pPr>
        <w:pStyle w:val="li1"/>
        <w:spacing w:before="60" w:after="60" w:line="276" w:lineRule="auto"/>
        <w:jc w:val="both"/>
        <w:rPr>
          <w:rFonts w:ascii="Times New Roman" w:eastAsiaTheme="minorHAnsi" w:hAnsi="Times New Roman"/>
          <w:sz w:val="24"/>
          <w:szCs w:val="24"/>
          <w:lang w:val="en-GB" w:eastAsia="en-US"/>
        </w:rPr>
      </w:pPr>
      <w:r w:rsidRPr="00F87467">
        <w:rPr>
          <w:rFonts w:ascii="Times New Roman" w:eastAsiaTheme="minorHAnsi" w:hAnsi="Times New Roman"/>
          <w:sz w:val="24"/>
          <w:szCs w:val="24"/>
          <w:lang w:val="en-GB" w:eastAsia="en-US"/>
        </w:rPr>
        <w:t xml:space="preserve">According to the </w:t>
      </w:r>
      <w:hyperlink r:id="rId33" w:history="1">
        <w:r w:rsidRPr="00D53265">
          <w:rPr>
            <w:rStyle w:val="Hyperlink"/>
            <w:rFonts w:ascii="Times New Roman" w:eastAsiaTheme="minorHAnsi" w:hAnsi="Times New Roman"/>
            <w:sz w:val="24"/>
            <w:szCs w:val="24"/>
            <w:lang w:val="en-GB" w:eastAsia="en-US"/>
          </w:rPr>
          <w:t>FPR</w:t>
        </w:r>
      </w:hyperlink>
      <w:r w:rsidRPr="00F87467">
        <w:rPr>
          <w:rFonts w:ascii="Times New Roman" w:eastAsiaTheme="minorHAnsi" w:hAnsi="Times New Roman"/>
          <w:sz w:val="24"/>
          <w:szCs w:val="24"/>
          <w:lang w:val="en-GB" w:eastAsia="en-US"/>
        </w:rPr>
        <w:t xml:space="preserve"> </w:t>
      </w:r>
      <w:r w:rsidR="00D833BA" w:rsidRPr="00F87467">
        <w:rPr>
          <w:rFonts w:ascii="Times New Roman" w:eastAsiaTheme="minorHAnsi" w:hAnsi="Times New Roman"/>
          <w:sz w:val="24"/>
          <w:szCs w:val="24"/>
          <w:lang w:val="en-GB" w:eastAsia="en-US"/>
        </w:rPr>
        <w:t>definition</w:t>
      </w:r>
      <w:r w:rsidRPr="00F87467">
        <w:rPr>
          <w:rFonts w:ascii="Times New Roman" w:eastAsiaTheme="minorHAnsi" w:hAnsi="Times New Roman"/>
          <w:sz w:val="24"/>
          <w:szCs w:val="24"/>
          <w:lang w:val="en-GB" w:eastAsia="en-US"/>
        </w:rPr>
        <w:t xml:space="preserve">, a “fertilising product means a substance, mixture, micro-organism or any other material applied or intended to be applied on plants [...]”. Given the fact that a seed corresponds to one of the developmental stages of a plant, being a small embryonic plant, it is understood that a fertilising product applied on seeds follows the </w:t>
      </w:r>
      <w:hyperlink r:id="rId34" w:history="1">
        <w:r w:rsidRPr="00D53265">
          <w:rPr>
            <w:rStyle w:val="Hyperlink"/>
            <w:rFonts w:ascii="Times New Roman" w:eastAsiaTheme="minorHAnsi" w:hAnsi="Times New Roman"/>
            <w:sz w:val="24"/>
            <w:szCs w:val="24"/>
            <w:lang w:val="en-GB" w:eastAsia="en-US"/>
          </w:rPr>
          <w:t>FPR</w:t>
        </w:r>
      </w:hyperlink>
      <w:r w:rsidRPr="00F87467">
        <w:rPr>
          <w:rFonts w:ascii="Times New Roman" w:eastAsiaTheme="minorHAnsi" w:hAnsi="Times New Roman"/>
          <w:sz w:val="24"/>
          <w:szCs w:val="24"/>
          <w:lang w:val="en-GB" w:eastAsia="en-US"/>
        </w:rPr>
        <w:t xml:space="preserve"> definition and thus falls under the scope of this Regulation.</w:t>
      </w:r>
      <w:r w:rsidR="00750ACF" w:rsidRPr="00F87467">
        <w:rPr>
          <w:rFonts w:ascii="Times New Roman" w:eastAsiaTheme="minorHAnsi" w:hAnsi="Times New Roman"/>
          <w:sz w:val="24"/>
          <w:szCs w:val="24"/>
          <w:lang w:val="en-GB" w:eastAsia="en-US"/>
        </w:rPr>
        <w:t xml:space="preserve"> </w:t>
      </w:r>
      <w:r w:rsidR="00D833BA" w:rsidRPr="00F87467">
        <w:rPr>
          <w:rFonts w:ascii="Times New Roman" w:eastAsiaTheme="minorHAnsi" w:hAnsi="Times New Roman"/>
          <w:sz w:val="24"/>
          <w:szCs w:val="24"/>
          <w:lang w:val="en-GB" w:eastAsia="en-US"/>
        </w:rPr>
        <w:t>Nevertheless</w:t>
      </w:r>
      <w:r w:rsidR="00750ACF" w:rsidRPr="00F87467">
        <w:rPr>
          <w:rFonts w:ascii="Times New Roman" w:eastAsiaTheme="minorHAnsi" w:hAnsi="Times New Roman"/>
          <w:sz w:val="24"/>
          <w:szCs w:val="24"/>
          <w:lang w:val="en-GB" w:eastAsia="en-US"/>
        </w:rPr>
        <w:t xml:space="preserve">, a </w:t>
      </w:r>
      <w:r w:rsidR="00750ACF" w:rsidRPr="004A773A">
        <w:rPr>
          <w:rFonts w:ascii="Times New Roman" w:eastAsiaTheme="minorHAnsi" w:hAnsi="Times New Roman"/>
          <w:sz w:val="24"/>
          <w:szCs w:val="24"/>
          <w:lang w:val="en-GB" w:eastAsia="en-US"/>
        </w:rPr>
        <w:t>seed</w:t>
      </w:r>
      <w:r w:rsidR="00750ACF" w:rsidRPr="00F87467">
        <w:rPr>
          <w:rFonts w:ascii="Times New Roman" w:eastAsiaTheme="minorHAnsi" w:hAnsi="Times New Roman"/>
          <w:sz w:val="24"/>
          <w:szCs w:val="24"/>
          <w:lang w:val="en-GB" w:eastAsia="en-US"/>
        </w:rPr>
        <w:t xml:space="preserve"> treated with an EU fertilising</w:t>
      </w:r>
      <w:r w:rsidR="00F51DEC" w:rsidRPr="00F87467">
        <w:rPr>
          <w:rFonts w:ascii="Times New Roman" w:eastAsiaTheme="minorHAnsi" w:hAnsi="Times New Roman"/>
          <w:sz w:val="24"/>
          <w:szCs w:val="24"/>
          <w:lang w:val="en-GB" w:eastAsia="en-US"/>
        </w:rPr>
        <w:t xml:space="preserve"> product</w:t>
      </w:r>
      <w:r w:rsidR="00750ACF" w:rsidRPr="00F87467">
        <w:rPr>
          <w:rFonts w:ascii="Times New Roman" w:eastAsiaTheme="minorHAnsi" w:hAnsi="Times New Roman"/>
          <w:sz w:val="24"/>
          <w:szCs w:val="24"/>
          <w:lang w:val="en-GB" w:eastAsia="en-US"/>
        </w:rPr>
        <w:t xml:space="preserve"> cannot be placed in the market as an EU fertilising product. In this specific case, the seed </w:t>
      </w:r>
      <w:r w:rsidR="00F51DEC" w:rsidRPr="00F87467">
        <w:rPr>
          <w:rFonts w:ascii="Times New Roman" w:eastAsiaTheme="minorHAnsi" w:hAnsi="Times New Roman"/>
          <w:sz w:val="24"/>
          <w:szCs w:val="24"/>
          <w:lang w:val="en-GB" w:eastAsia="en-US"/>
        </w:rPr>
        <w:t>is the intended recipient of the fertilising effect and m</w:t>
      </w:r>
      <w:r w:rsidR="00750ACF" w:rsidRPr="00F87467">
        <w:rPr>
          <w:rFonts w:ascii="Times New Roman" w:eastAsiaTheme="minorHAnsi" w:hAnsi="Times New Roman"/>
          <w:sz w:val="24"/>
          <w:szCs w:val="24"/>
          <w:lang w:val="en-GB" w:eastAsia="en-US"/>
        </w:rPr>
        <w:t xml:space="preserve">ay not be part of the </w:t>
      </w:r>
      <w:r w:rsidR="00D833BA" w:rsidRPr="00F87467">
        <w:rPr>
          <w:rFonts w:ascii="Times New Roman" w:eastAsiaTheme="minorHAnsi" w:hAnsi="Times New Roman"/>
          <w:sz w:val="24"/>
          <w:szCs w:val="24"/>
          <w:lang w:val="en-GB" w:eastAsia="en-US"/>
        </w:rPr>
        <w:t>composition</w:t>
      </w:r>
      <w:r w:rsidR="00750ACF" w:rsidRPr="00F87467">
        <w:rPr>
          <w:rFonts w:ascii="Times New Roman" w:eastAsiaTheme="minorHAnsi" w:hAnsi="Times New Roman"/>
          <w:sz w:val="24"/>
          <w:szCs w:val="24"/>
          <w:lang w:val="en-GB" w:eastAsia="en-US"/>
        </w:rPr>
        <w:t xml:space="preserve"> of </w:t>
      </w:r>
      <w:r w:rsidR="00F51DEC" w:rsidRPr="00F87467">
        <w:rPr>
          <w:rFonts w:ascii="Times New Roman" w:eastAsiaTheme="minorHAnsi" w:hAnsi="Times New Roman"/>
          <w:sz w:val="24"/>
          <w:szCs w:val="24"/>
          <w:lang w:val="en-GB" w:eastAsia="en-US"/>
        </w:rPr>
        <w:t>an</w:t>
      </w:r>
      <w:r w:rsidR="00750ACF" w:rsidRPr="00F87467">
        <w:rPr>
          <w:rFonts w:ascii="Times New Roman" w:eastAsiaTheme="minorHAnsi" w:hAnsi="Times New Roman"/>
          <w:sz w:val="24"/>
          <w:szCs w:val="24"/>
          <w:lang w:val="en-GB" w:eastAsia="en-US"/>
        </w:rPr>
        <w:t xml:space="preserve"> EU fertilising product.</w:t>
      </w:r>
    </w:p>
    <w:p w14:paraId="6D640802" w14:textId="77777777" w:rsidR="00814841" w:rsidRPr="00F87467" w:rsidRDefault="00814841" w:rsidP="00F87467">
      <w:pPr>
        <w:pStyle w:val="li1"/>
        <w:spacing w:before="60" w:after="60" w:line="276" w:lineRule="auto"/>
        <w:jc w:val="both"/>
        <w:rPr>
          <w:rFonts w:ascii="Times New Roman" w:eastAsiaTheme="minorHAnsi" w:hAnsi="Times New Roman"/>
          <w:sz w:val="24"/>
          <w:szCs w:val="24"/>
          <w:lang w:val="en-GB" w:eastAsia="en-US"/>
        </w:rPr>
      </w:pPr>
    </w:p>
    <w:p w14:paraId="13C1F35C" w14:textId="70C80C93" w:rsidR="00CC2F26" w:rsidRPr="00D53265" w:rsidRDefault="005A0BD0" w:rsidP="00F87467">
      <w:pPr>
        <w:pStyle w:val="Heading2"/>
        <w:spacing w:before="60" w:after="60" w:line="276" w:lineRule="auto"/>
      </w:pPr>
      <w:bookmarkStart w:id="8" w:name="_Toc59185373"/>
      <w:r w:rsidRPr="00D53265">
        <w:lastRenderedPageBreak/>
        <w:t>Does the FPR change the rules concerning the use of processed manure under the Nitrates Directive?</w:t>
      </w:r>
      <w:bookmarkEnd w:id="8"/>
    </w:p>
    <w:p w14:paraId="446FCA91" w14:textId="7251BE1F" w:rsidR="005A0BD0" w:rsidRPr="00F87467" w:rsidRDefault="005A0BD0" w:rsidP="00F87467">
      <w:pPr>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No. The </w:t>
      </w:r>
      <w:hyperlink r:id="rId35"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lays down the conditions for the manufacture and making available on the market of EU fertilising products. </w:t>
      </w:r>
      <w:r w:rsidR="004D33B3" w:rsidRPr="001E73C0">
        <w:rPr>
          <w:rFonts w:ascii="Times New Roman" w:hAnsi="Times New Roman" w:cs="Times New Roman"/>
          <w:sz w:val="24"/>
          <w:szCs w:val="24"/>
        </w:rPr>
        <w:t>If an EU fertilising product contains processed manure, as defined under the Nitrates Directive, then its use is subject to the requirements of the Nitrates Directive, irrespective</w:t>
      </w:r>
      <w:r w:rsidR="004D33B3">
        <w:rPr>
          <w:rFonts w:ascii="Times New Roman" w:hAnsi="Times New Roman" w:cs="Times New Roman"/>
          <w:sz w:val="24"/>
          <w:szCs w:val="24"/>
        </w:rPr>
        <w:t xml:space="preserve"> of</w:t>
      </w:r>
      <w:r w:rsidR="004D33B3" w:rsidRPr="006146D1">
        <w:rPr>
          <w:rFonts w:ascii="Times New Roman" w:hAnsi="Times New Roman" w:cs="Times New Roman"/>
          <w:sz w:val="24"/>
          <w:szCs w:val="24"/>
        </w:rPr>
        <w:t xml:space="preserve"> w</w:t>
      </w:r>
      <w:r w:rsidR="004D33B3">
        <w:rPr>
          <w:rFonts w:ascii="Times New Roman" w:hAnsi="Times New Roman" w:cs="Times New Roman"/>
          <w:sz w:val="24"/>
          <w:szCs w:val="24"/>
        </w:rPr>
        <w:t>hether or not it is a CE-Marked fertilising product.</w:t>
      </w:r>
    </w:p>
    <w:p w14:paraId="389BEC38" w14:textId="6369E9C8" w:rsidR="00814841" w:rsidRDefault="00122496" w:rsidP="00F87467">
      <w:pPr>
        <w:spacing w:before="60" w:after="60"/>
        <w:jc w:val="both"/>
        <w:rPr>
          <w:rFonts w:ascii="Times New Roman" w:hAnsi="Times New Roman" w:cs="Times New Roman"/>
          <w:sz w:val="24"/>
          <w:szCs w:val="24"/>
        </w:rPr>
      </w:pPr>
      <w:r>
        <w:rPr>
          <w:rFonts w:ascii="Times New Roman" w:hAnsi="Times New Roman" w:cs="Times New Roman"/>
          <w:sz w:val="24"/>
          <w:szCs w:val="24"/>
        </w:rPr>
        <w:t>T</w:t>
      </w:r>
      <w:r w:rsidR="005A0BD0" w:rsidRPr="00F87467">
        <w:rPr>
          <w:rFonts w:ascii="Times New Roman" w:hAnsi="Times New Roman" w:cs="Times New Roman"/>
          <w:sz w:val="24"/>
          <w:szCs w:val="24"/>
        </w:rPr>
        <w:t xml:space="preserve">he </w:t>
      </w:r>
      <w:hyperlink r:id="rId36" w:history="1">
        <w:r w:rsidR="005A0BD0" w:rsidRPr="00D53265">
          <w:rPr>
            <w:rStyle w:val="Hyperlink"/>
            <w:rFonts w:ascii="Times New Roman" w:hAnsi="Times New Roman" w:cs="Times New Roman"/>
            <w:sz w:val="24"/>
            <w:szCs w:val="24"/>
          </w:rPr>
          <w:t>FPR</w:t>
        </w:r>
      </w:hyperlink>
      <w:r w:rsidR="005A0BD0" w:rsidRPr="00F87467">
        <w:rPr>
          <w:rFonts w:ascii="Times New Roman" w:hAnsi="Times New Roman" w:cs="Times New Roman"/>
          <w:sz w:val="24"/>
          <w:szCs w:val="24"/>
        </w:rPr>
        <w:t xml:space="preserve"> does not change the rules applicable under the Nitrates Directive. </w:t>
      </w:r>
    </w:p>
    <w:p w14:paraId="07E50EAE" w14:textId="713A98C3" w:rsidR="005A0BD0" w:rsidRPr="00F87467" w:rsidRDefault="005A0BD0" w:rsidP="00F87467">
      <w:pPr>
        <w:spacing w:before="60" w:after="60"/>
        <w:jc w:val="both"/>
        <w:rPr>
          <w:rFonts w:ascii="Times New Roman" w:hAnsi="Times New Roman" w:cs="Times New Roman"/>
          <w:sz w:val="24"/>
          <w:szCs w:val="24"/>
        </w:rPr>
      </w:pPr>
    </w:p>
    <w:p w14:paraId="73DB7DC4" w14:textId="6CD37965" w:rsidR="00AE2609" w:rsidRPr="00F87467" w:rsidRDefault="00AE2609" w:rsidP="00E717A1">
      <w:pPr>
        <w:pStyle w:val="Heading1"/>
        <w:numPr>
          <w:ilvl w:val="0"/>
          <w:numId w:val="3"/>
        </w:numPr>
        <w:tabs>
          <w:tab w:val="left" w:pos="426"/>
        </w:tabs>
        <w:spacing w:before="60" w:after="60"/>
        <w:ind w:left="0" w:firstLine="0"/>
        <w:jc w:val="both"/>
        <w:rPr>
          <w:rFonts w:ascii="Times New Roman" w:hAnsi="Times New Roman" w:cs="Times New Roman"/>
          <w:sz w:val="24"/>
          <w:szCs w:val="24"/>
        </w:rPr>
      </w:pPr>
      <w:bookmarkStart w:id="9" w:name="_Toc59185374"/>
      <w:r w:rsidRPr="00F87467">
        <w:rPr>
          <w:rFonts w:ascii="Times New Roman" w:hAnsi="Times New Roman" w:cs="Times New Roman"/>
          <w:sz w:val="24"/>
          <w:szCs w:val="24"/>
        </w:rPr>
        <w:t>Optional harmonisation</w:t>
      </w:r>
      <w:bookmarkEnd w:id="9"/>
    </w:p>
    <w:p w14:paraId="4ECCD82F" w14:textId="78E0E60A" w:rsidR="00C24504" w:rsidRPr="00F87467" w:rsidRDefault="00C24504" w:rsidP="00F87467">
      <w:pPr>
        <w:pStyle w:val="Heading2"/>
        <w:spacing w:before="60" w:after="60" w:line="276" w:lineRule="auto"/>
      </w:pPr>
      <w:bookmarkStart w:id="10" w:name="_Toc59185375"/>
      <w:r w:rsidRPr="00F87467">
        <w:t>Do</w:t>
      </w:r>
      <w:r w:rsidR="00BB1136" w:rsidRPr="00F87467">
        <w:t>es</w:t>
      </w:r>
      <w:r w:rsidRPr="00F87467">
        <w:t xml:space="preserve"> the </w:t>
      </w:r>
      <w:r w:rsidR="00BB1136" w:rsidRPr="00F87467">
        <w:t xml:space="preserve">FPR </w:t>
      </w:r>
      <w:r w:rsidRPr="00F87467">
        <w:t>replace the existing national legislations? Can fertilising products still be placed on the market based on national legislation alone?</w:t>
      </w:r>
      <w:bookmarkEnd w:id="10"/>
      <w:r w:rsidRPr="00F87467">
        <w:t xml:space="preserve"> </w:t>
      </w:r>
    </w:p>
    <w:p w14:paraId="096EFFF2" w14:textId="2EE73AFF" w:rsidR="00563B29" w:rsidRPr="00F87467" w:rsidRDefault="00C24504" w:rsidP="00F87467">
      <w:pPr>
        <w:tabs>
          <w:tab w:val="left" w:pos="426"/>
          <w:tab w:val="left" w:pos="5812"/>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Contrary to most other products harmonisation measures in Union law, </w:t>
      </w:r>
      <w:r w:rsidR="00DD586B" w:rsidRPr="00F87467">
        <w:rPr>
          <w:rFonts w:ascii="Times New Roman" w:hAnsi="Times New Roman" w:cs="Times New Roman"/>
          <w:sz w:val="24"/>
          <w:szCs w:val="24"/>
        </w:rPr>
        <w:t xml:space="preserve">the </w:t>
      </w:r>
      <w:hyperlink r:id="rId37"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does not replace national legislations and does not prevent non-harmonised fertilising products from being available on the single market in accordance with national legislations. </w:t>
      </w:r>
    </w:p>
    <w:p w14:paraId="51530506" w14:textId="2FE429F7" w:rsidR="00563B29" w:rsidRPr="00F87467" w:rsidRDefault="00C24504" w:rsidP="00F87467">
      <w:pPr>
        <w:tabs>
          <w:tab w:val="left" w:pos="426"/>
          <w:tab w:val="left" w:pos="5812"/>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Compliance with the harmonised rules as </w:t>
      </w:r>
      <w:r w:rsidR="00BC698C" w:rsidRPr="00F87467">
        <w:rPr>
          <w:rFonts w:ascii="Times New Roman" w:hAnsi="Times New Roman" w:cs="Times New Roman"/>
          <w:sz w:val="24"/>
          <w:szCs w:val="24"/>
        </w:rPr>
        <w:t>laid down</w:t>
      </w:r>
      <w:r w:rsidRPr="00F87467">
        <w:rPr>
          <w:rFonts w:ascii="Times New Roman" w:hAnsi="Times New Roman" w:cs="Times New Roman"/>
          <w:sz w:val="24"/>
          <w:szCs w:val="24"/>
        </w:rPr>
        <w:t xml:space="preserve"> in </w:t>
      </w:r>
      <w:r w:rsidR="00DD586B" w:rsidRPr="00F87467">
        <w:rPr>
          <w:rFonts w:ascii="Times New Roman" w:hAnsi="Times New Roman" w:cs="Times New Roman"/>
          <w:sz w:val="24"/>
          <w:szCs w:val="24"/>
        </w:rPr>
        <w:t xml:space="preserve">the </w:t>
      </w:r>
      <w:hyperlink r:id="rId38"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remains optional. It is </w:t>
      </w:r>
      <w:r w:rsidR="00184BD2" w:rsidRPr="00F87467">
        <w:rPr>
          <w:rFonts w:ascii="Times New Roman" w:hAnsi="Times New Roman" w:cs="Times New Roman"/>
          <w:sz w:val="24"/>
          <w:szCs w:val="24"/>
        </w:rPr>
        <w:t>at</w:t>
      </w:r>
      <w:r w:rsidRPr="00F87467">
        <w:rPr>
          <w:rFonts w:ascii="Times New Roman" w:hAnsi="Times New Roman" w:cs="Times New Roman"/>
          <w:sz w:val="24"/>
          <w:szCs w:val="24"/>
        </w:rPr>
        <w:t xml:space="preserve"> manufacturers’ discretion to decide </w:t>
      </w:r>
      <w:r w:rsidR="00BC698C" w:rsidRPr="00F87467">
        <w:rPr>
          <w:rFonts w:ascii="Times New Roman" w:hAnsi="Times New Roman" w:cs="Times New Roman"/>
          <w:sz w:val="24"/>
          <w:szCs w:val="24"/>
        </w:rPr>
        <w:t>if:</w:t>
      </w:r>
    </w:p>
    <w:p w14:paraId="12256EA1" w14:textId="7F47B340" w:rsidR="00563B29" w:rsidRPr="00F87467" w:rsidRDefault="00563B29" w:rsidP="00E717A1">
      <w:pPr>
        <w:pStyle w:val="ListParagraph"/>
        <w:numPr>
          <w:ilvl w:val="0"/>
          <w:numId w:val="7"/>
        </w:numPr>
        <w:tabs>
          <w:tab w:val="left" w:pos="426"/>
          <w:tab w:val="left" w:pos="5812"/>
        </w:tabs>
        <w:spacing w:before="60" w:after="60" w:line="276" w:lineRule="auto"/>
        <w:jc w:val="both"/>
        <w:rPr>
          <w:szCs w:val="24"/>
          <w:lang w:val="en-GB"/>
        </w:rPr>
      </w:pPr>
      <w:r w:rsidRPr="00F87467">
        <w:rPr>
          <w:szCs w:val="24"/>
          <w:lang w:val="en-GB"/>
        </w:rPr>
        <w:t xml:space="preserve">to apply the </w:t>
      </w:r>
      <w:hyperlink r:id="rId39" w:history="1">
        <w:r w:rsidRPr="00D53265">
          <w:rPr>
            <w:rStyle w:val="Hyperlink"/>
            <w:szCs w:val="24"/>
            <w:lang w:val="en-GB"/>
          </w:rPr>
          <w:t>FPR</w:t>
        </w:r>
      </w:hyperlink>
      <w:r w:rsidRPr="00F87467">
        <w:rPr>
          <w:szCs w:val="24"/>
          <w:lang w:val="en-GB"/>
        </w:rPr>
        <w:t xml:space="preserve"> and affix the CE mark to their products; thus, these products move freely in the single market </w:t>
      </w:r>
    </w:p>
    <w:p w14:paraId="683A16B5" w14:textId="10D2911B" w:rsidR="00BC698C" w:rsidRPr="00F87467" w:rsidRDefault="00563B29" w:rsidP="00E717A1">
      <w:pPr>
        <w:pStyle w:val="ListParagraph"/>
        <w:numPr>
          <w:ilvl w:val="0"/>
          <w:numId w:val="7"/>
        </w:numPr>
        <w:tabs>
          <w:tab w:val="left" w:pos="426"/>
          <w:tab w:val="left" w:pos="5812"/>
        </w:tabs>
        <w:spacing w:before="60" w:after="60" w:line="276" w:lineRule="auto"/>
        <w:jc w:val="both"/>
        <w:rPr>
          <w:szCs w:val="24"/>
          <w:lang w:val="en-GB"/>
        </w:rPr>
      </w:pPr>
      <w:r w:rsidRPr="00F87467">
        <w:rPr>
          <w:szCs w:val="24"/>
          <w:lang w:val="en-GB"/>
        </w:rPr>
        <w:t xml:space="preserve">to follow the rules laid down at national level in an EU country; if they intend to place their products on the market in another EU country, they have to follow </w:t>
      </w:r>
      <w:hyperlink r:id="rId40" w:history="1">
        <w:r w:rsidRPr="00F87467">
          <w:rPr>
            <w:rStyle w:val="Hyperlink"/>
            <w:szCs w:val="24"/>
            <w:lang w:val="en-GB"/>
          </w:rPr>
          <w:t>the mutual recognition rules</w:t>
        </w:r>
      </w:hyperlink>
    </w:p>
    <w:p w14:paraId="4111DC8C" w14:textId="3BB00878" w:rsidR="00563B29" w:rsidRPr="00F87467" w:rsidRDefault="00BC698C" w:rsidP="00E717A1">
      <w:pPr>
        <w:pStyle w:val="ListParagraph"/>
        <w:numPr>
          <w:ilvl w:val="0"/>
          <w:numId w:val="7"/>
        </w:numPr>
        <w:tabs>
          <w:tab w:val="left" w:pos="426"/>
          <w:tab w:val="left" w:pos="5812"/>
        </w:tabs>
        <w:spacing w:before="60" w:after="60" w:line="276" w:lineRule="auto"/>
        <w:jc w:val="both"/>
        <w:rPr>
          <w:szCs w:val="24"/>
          <w:lang w:val="en-GB"/>
        </w:rPr>
      </w:pPr>
      <w:r w:rsidRPr="00F87467">
        <w:rPr>
          <w:szCs w:val="24"/>
          <w:lang w:val="en-GB"/>
        </w:rPr>
        <w:t xml:space="preserve">or to market the product both under the </w:t>
      </w:r>
      <w:hyperlink r:id="rId41" w:history="1">
        <w:r w:rsidRPr="00D53265">
          <w:rPr>
            <w:rStyle w:val="Hyperlink"/>
            <w:szCs w:val="24"/>
            <w:lang w:val="en-GB"/>
          </w:rPr>
          <w:t>FPR</w:t>
        </w:r>
      </w:hyperlink>
      <w:r w:rsidRPr="00F87467">
        <w:rPr>
          <w:szCs w:val="24"/>
          <w:lang w:val="en-GB"/>
        </w:rPr>
        <w:t xml:space="preserve"> and the national legislations, provided that the requirements under both sets of rules are met. </w:t>
      </w:r>
      <w:r w:rsidR="00563B29" w:rsidRPr="00F87467">
        <w:rPr>
          <w:szCs w:val="24"/>
          <w:lang w:val="en-GB"/>
        </w:rPr>
        <w:t xml:space="preserve">  </w:t>
      </w:r>
    </w:p>
    <w:p w14:paraId="715166EC" w14:textId="77777777" w:rsidR="00563B29" w:rsidRPr="00F87467" w:rsidRDefault="00563B29" w:rsidP="00F87467">
      <w:pPr>
        <w:tabs>
          <w:tab w:val="left" w:pos="426"/>
          <w:tab w:val="left" w:pos="5812"/>
        </w:tabs>
        <w:spacing w:before="60" w:after="60"/>
        <w:jc w:val="both"/>
        <w:rPr>
          <w:rFonts w:ascii="Times New Roman" w:hAnsi="Times New Roman" w:cs="Times New Roman"/>
          <w:sz w:val="24"/>
          <w:szCs w:val="24"/>
        </w:rPr>
      </w:pPr>
    </w:p>
    <w:p w14:paraId="3066FC70" w14:textId="47F046C9" w:rsidR="00EB562C" w:rsidRPr="00F87467" w:rsidRDefault="00EB562C" w:rsidP="00F87467">
      <w:pPr>
        <w:pStyle w:val="Heading2"/>
        <w:spacing w:before="60" w:after="60" w:line="276" w:lineRule="auto"/>
      </w:pPr>
      <w:bookmarkStart w:id="11" w:name="_Toc59185376"/>
      <w:r w:rsidRPr="00F87467">
        <w:t>If the fertilising product meets the requirements of national legislation, can the manufacturer indicate reference to national legislation on the label of the CE marked fertilising product?</w:t>
      </w:r>
      <w:bookmarkEnd w:id="11"/>
    </w:p>
    <w:p w14:paraId="5FA3021C" w14:textId="2063F203" w:rsidR="005A2066" w:rsidRPr="00F87467" w:rsidRDefault="00F07733"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In principle, a manufacturer is allowed to provide voluntary information other than the mandatory labelling elements defined in </w:t>
      </w:r>
      <w:r w:rsidR="009843AD" w:rsidRPr="00F87467">
        <w:rPr>
          <w:rFonts w:ascii="Times New Roman" w:hAnsi="Times New Roman" w:cs="Times New Roman"/>
          <w:sz w:val="24"/>
          <w:szCs w:val="24"/>
        </w:rPr>
        <w:t xml:space="preserve">the </w:t>
      </w:r>
      <w:hyperlink r:id="rId42"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That also extends to information about compliance with national legislation</w:t>
      </w:r>
      <w:r w:rsidR="004366A7" w:rsidRPr="00F87467">
        <w:rPr>
          <w:rFonts w:ascii="Times New Roman" w:hAnsi="Times New Roman" w:cs="Times New Roman"/>
          <w:sz w:val="24"/>
          <w:szCs w:val="24"/>
        </w:rPr>
        <w:t xml:space="preserve"> in EU countries or third countries</w:t>
      </w:r>
      <w:r w:rsidRPr="00F87467">
        <w:rPr>
          <w:rFonts w:ascii="Times New Roman" w:hAnsi="Times New Roman" w:cs="Times New Roman"/>
          <w:sz w:val="24"/>
          <w:szCs w:val="24"/>
        </w:rPr>
        <w:t xml:space="preserve">. </w:t>
      </w:r>
    </w:p>
    <w:p w14:paraId="79EF2801" w14:textId="742EECA0" w:rsidR="00EB562C" w:rsidRPr="00F87467" w:rsidRDefault="00F07733"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However, there are some restrictions for voluntary information in point 8 of Part I of Annex III to </w:t>
      </w:r>
      <w:r w:rsidR="009843AD" w:rsidRPr="00F87467">
        <w:rPr>
          <w:rFonts w:ascii="Times New Roman" w:hAnsi="Times New Roman" w:cs="Times New Roman"/>
          <w:sz w:val="24"/>
          <w:szCs w:val="24"/>
        </w:rPr>
        <w:t xml:space="preserve">the </w:t>
      </w:r>
      <w:hyperlink r:id="rId43"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w:t>
      </w:r>
      <w:r w:rsidRPr="00F87467">
        <w:rPr>
          <w:rFonts w:ascii="Times New Roman" w:hAnsi="Times New Roman" w:cs="Times New Roman"/>
          <w:i/>
          <w:sz w:val="24"/>
          <w:szCs w:val="24"/>
        </w:rPr>
        <w:t>E.g.</w:t>
      </w:r>
      <w:r w:rsidRPr="00F87467">
        <w:rPr>
          <w:rFonts w:ascii="Times New Roman" w:hAnsi="Times New Roman" w:cs="Times New Roman"/>
          <w:sz w:val="24"/>
          <w:szCs w:val="24"/>
        </w:rPr>
        <w:t xml:space="preserve">, the information </w:t>
      </w:r>
      <w:r w:rsidR="00E818A5" w:rsidRPr="00F87467">
        <w:rPr>
          <w:rFonts w:ascii="Times New Roman" w:hAnsi="Times New Roman" w:cs="Times New Roman"/>
          <w:sz w:val="24"/>
          <w:szCs w:val="24"/>
        </w:rPr>
        <w:t xml:space="preserve">must </w:t>
      </w:r>
      <w:r w:rsidRPr="00F87467">
        <w:rPr>
          <w:rFonts w:ascii="Times New Roman" w:hAnsi="Times New Roman" w:cs="Times New Roman"/>
          <w:sz w:val="24"/>
          <w:szCs w:val="24"/>
        </w:rPr>
        <w:t xml:space="preserve">not mislead the user, </w:t>
      </w:r>
      <w:r w:rsidR="00E818A5" w:rsidRPr="00F87467">
        <w:rPr>
          <w:rFonts w:ascii="Times New Roman" w:hAnsi="Times New Roman" w:cs="Times New Roman"/>
          <w:sz w:val="24"/>
          <w:szCs w:val="24"/>
        </w:rPr>
        <w:t xml:space="preserve">has to </w:t>
      </w:r>
      <w:r w:rsidRPr="00F87467">
        <w:rPr>
          <w:rFonts w:ascii="Times New Roman" w:hAnsi="Times New Roman" w:cs="Times New Roman"/>
          <w:sz w:val="24"/>
          <w:szCs w:val="24"/>
        </w:rPr>
        <w:t xml:space="preserve">relate to verifiable factors, and </w:t>
      </w:r>
      <w:r w:rsidR="00E818A5" w:rsidRPr="00F87467">
        <w:rPr>
          <w:rFonts w:ascii="Times New Roman" w:hAnsi="Times New Roman" w:cs="Times New Roman"/>
          <w:sz w:val="24"/>
          <w:szCs w:val="24"/>
        </w:rPr>
        <w:t xml:space="preserve">must </w:t>
      </w:r>
      <w:r w:rsidRPr="00F87467">
        <w:rPr>
          <w:rFonts w:ascii="Times New Roman" w:hAnsi="Times New Roman" w:cs="Times New Roman"/>
          <w:sz w:val="24"/>
          <w:szCs w:val="24"/>
        </w:rPr>
        <w:t>not make unsubstantiated sustainability claims.</w:t>
      </w:r>
    </w:p>
    <w:p w14:paraId="7E1F46ED" w14:textId="77777777" w:rsidR="00EB562C" w:rsidRPr="00F87467" w:rsidRDefault="00EB562C" w:rsidP="00F87467">
      <w:pPr>
        <w:tabs>
          <w:tab w:val="left" w:pos="426"/>
          <w:tab w:val="left" w:pos="5812"/>
        </w:tabs>
        <w:spacing w:before="60" w:after="60"/>
        <w:jc w:val="both"/>
        <w:rPr>
          <w:rFonts w:ascii="Times New Roman" w:hAnsi="Times New Roman" w:cs="Times New Roman"/>
          <w:color w:val="00B050"/>
          <w:sz w:val="24"/>
          <w:szCs w:val="24"/>
        </w:rPr>
      </w:pPr>
    </w:p>
    <w:p w14:paraId="189BB47E" w14:textId="4EA53B5E" w:rsidR="00D23DF2" w:rsidRPr="00F87467" w:rsidRDefault="00D23DF2" w:rsidP="00E717A1">
      <w:pPr>
        <w:pStyle w:val="ListParagraph"/>
        <w:keepNext/>
        <w:numPr>
          <w:ilvl w:val="1"/>
          <w:numId w:val="3"/>
        </w:numPr>
        <w:tabs>
          <w:tab w:val="left" w:pos="426"/>
          <w:tab w:val="left" w:pos="851"/>
        </w:tabs>
        <w:spacing w:before="60" w:after="60" w:line="276" w:lineRule="auto"/>
        <w:ind w:left="374" w:hanging="374"/>
        <w:jc w:val="both"/>
        <w:rPr>
          <w:i/>
          <w:szCs w:val="24"/>
          <w:lang w:val="en-GB"/>
        </w:rPr>
      </w:pPr>
      <w:r w:rsidRPr="00F87467">
        <w:rPr>
          <w:i/>
          <w:szCs w:val="24"/>
          <w:lang w:val="en-GB"/>
        </w:rPr>
        <w:t xml:space="preserve">Is it possible that manufacturers market products of one facility under national </w:t>
      </w:r>
      <w:r w:rsidR="009843AD" w:rsidRPr="00F87467">
        <w:rPr>
          <w:i/>
          <w:szCs w:val="24"/>
          <w:lang w:val="en-GB"/>
        </w:rPr>
        <w:t xml:space="preserve">legislation </w:t>
      </w:r>
      <w:r w:rsidRPr="00F87467">
        <w:rPr>
          <w:i/>
          <w:szCs w:val="24"/>
          <w:lang w:val="en-GB"/>
        </w:rPr>
        <w:t>and also as CE-marked products?</w:t>
      </w:r>
      <w:r w:rsidR="005A2066" w:rsidRPr="00F87467">
        <w:rPr>
          <w:i/>
          <w:szCs w:val="24"/>
          <w:lang w:val="en-GB"/>
        </w:rPr>
        <w:t xml:space="preserve"> </w:t>
      </w:r>
      <w:r w:rsidR="004F6E20" w:rsidRPr="00F87467">
        <w:rPr>
          <w:i/>
          <w:szCs w:val="24"/>
          <w:lang w:val="en-GB"/>
        </w:rPr>
        <w:t>Do</w:t>
      </w:r>
      <w:r w:rsidRPr="00F87467">
        <w:rPr>
          <w:i/>
          <w:szCs w:val="24"/>
          <w:lang w:val="en-GB"/>
        </w:rPr>
        <w:t xml:space="preserve"> CE-marked products and national products </w:t>
      </w:r>
      <w:r w:rsidR="004F6E20" w:rsidRPr="00F87467">
        <w:rPr>
          <w:i/>
          <w:szCs w:val="24"/>
          <w:lang w:val="en-GB"/>
        </w:rPr>
        <w:t xml:space="preserve">have </w:t>
      </w:r>
      <w:r w:rsidRPr="00F87467">
        <w:rPr>
          <w:i/>
          <w:szCs w:val="24"/>
          <w:lang w:val="en-GB"/>
        </w:rPr>
        <w:t>to be derived from different production line</w:t>
      </w:r>
      <w:r w:rsidR="004F6E20" w:rsidRPr="00F87467">
        <w:rPr>
          <w:i/>
          <w:szCs w:val="24"/>
          <w:lang w:val="en-GB"/>
        </w:rPr>
        <w:t>s,</w:t>
      </w:r>
      <w:r w:rsidRPr="00F87467">
        <w:rPr>
          <w:i/>
          <w:szCs w:val="24"/>
          <w:lang w:val="en-GB"/>
        </w:rPr>
        <w:t xml:space="preserve"> or is it possible to switch between CE-marked and national products from batch to batch?</w:t>
      </w:r>
    </w:p>
    <w:p w14:paraId="4F8C876D" w14:textId="0C96AD5B" w:rsidR="005A2066" w:rsidRPr="00F87467" w:rsidRDefault="005A2066"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In principle yes, it is possible</w:t>
      </w:r>
      <w:r w:rsidR="004F6E20" w:rsidRPr="00F87467">
        <w:rPr>
          <w:rFonts w:ascii="Times New Roman" w:hAnsi="Times New Roman" w:cs="Times New Roman"/>
          <w:sz w:val="24"/>
          <w:szCs w:val="24"/>
        </w:rPr>
        <w:t xml:space="preserve"> to sell the same product formulation both with and without the CE mark, and to use the same production line.</w:t>
      </w:r>
    </w:p>
    <w:p w14:paraId="2C2E126E" w14:textId="0C50A755" w:rsidR="00D23DF2" w:rsidRPr="00F87467" w:rsidRDefault="005A2066"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lastRenderedPageBreak/>
        <w:t xml:space="preserve">Note, however, that there </w:t>
      </w:r>
      <w:r w:rsidR="009843AD" w:rsidRPr="00F87467">
        <w:rPr>
          <w:rFonts w:ascii="Times New Roman" w:hAnsi="Times New Roman" w:cs="Times New Roman"/>
          <w:sz w:val="24"/>
          <w:szCs w:val="24"/>
        </w:rPr>
        <w:t xml:space="preserve">might be specific rules in the </w:t>
      </w:r>
      <w:hyperlink r:id="rId44" w:history="1">
        <w:r w:rsidR="009843AD" w:rsidRPr="00D53265">
          <w:rPr>
            <w:rStyle w:val="Hyperlink"/>
            <w:rFonts w:ascii="Times New Roman" w:hAnsi="Times New Roman" w:cs="Times New Roman"/>
            <w:sz w:val="24"/>
            <w:szCs w:val="24"/>
          </w:rPr>
          <w:t>FPR</w:t>
        </w:r>
      </w:hyperlink>
      <w:r w:rsidR="009843AD" w:rsidRPr="00F87467">
        <w:rPr>
          <w:rFonts w:ascii="Times New Roman" w:hAnsi="Times New Roman" w:cs="Times New Roman"/>
          <w:sz w:val="24"/>
          <w:szCs w:val="24"/>
        </w:rPr>
        <w:t xml:space="preserve"> regarding the production lines. For instance, there </w:t>
      </w:r>
      <w:r w:rsidRPr="00F87467">
        <w:rPr>
          <w:rFonts w:ascii="Times New Roman" w:hAnsi="Times New Roman" w:cs="Times New Roman"/>
          <w:sz w:val="24"/>
          <w:szCs w:val="24"/>
        </w:rPr>
        <w:t xml:space="preserve">is a specific rule for compost and digestate: Composting and digestion have to take place in a plant where the production lines are clearly separated from production lines processing any input materials other than those indicated in the exhaustive lists of input materials for CMCs 3, 4 and 5. But as long as the non-CE marked product is derived from the same input materials, nothing in </w:t>
      </w:r>
      <w:r w:rsidR="009843AD" w:rsidRPr="00F87467">
        <w:rPr>
          <w:rFonts w:ascii="Times New Roman" w:hAnsi="Times New Roman" w:cs="Times New Roman"/>
          <w:sz w:val="24"/>
          <w:szCs w:val="24"/>
        </w:rPr>
        <w:t xml:space="preserve">the </w:t>
      </w:r>
      <w:hyperlink r:id="rId45"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prevents the manufacturer from using the same production line for EU fertilising products as for non-CE marked products.</w:t>
      </w:r>
    </w:p>
    <w:p w14:paraId="753ED559" w14:textId="77777777" w:rsidR="005A2066" w:rsidRPr="00F87467" w:rsidRDefault="005A2066" w:rsidP="00F87467">
      <w:pPr>
        <w:tabs>
          <w:tab w:val="left" w:pos="426"/>
        </w:tabs>
        <w:spacing w:before="60" w:after="60"/>
        <w:jc w:val="both"/>
        <w:rPr>
          <w:rFonts w:ascii="Times New Roman" w:hAnsi="Times New Roman" w:cs="Times New Roman"/>
          <w:sz w:val="24"/>
          <w:szCs w:val="24"/>
        </w:rPr>
      </w:pPr>
    </w:p>
    <w:p w14:paraId="5B6A91B0" w14:textId="376084E4" w:rsidR="00AE2609" w:rsidRPr="00F87467" w:rsidRDefault="00AE2609" w:rsidP="00E717A1">
      <w:pPr>
        <w:pStyle w:val="Heading1"/>
        <w:numPr>
          <w:ilvl w:val="0"/>
          <w:numId w:val="3"/>
        </w:numPr>
        <w:tabs>
          <w:tab w:val="left" w:pos="426"/>
        </w:tabs>
        <w:spacing w:before="60" w:after="60"/>
        <w:ind w:left="0" w:firstLine="0"/>
        <w:jc w:val="both"/>
        <w:rPr>
          <w:rFonts w:ascii="Times New Roman" w:hAnsi="Times New Roman" w:cs="Times New Roman"/>
          <w:sz w:val="24"/>
          <w:szCs w:val="24"/>
        </w:rPr>
      </w:pPr>
      <w:bookmarkStart w:id="12" w:name="_Toc59185377"/>
      <w:r w:rsidRPr="00F87467">
        <w:rPr>
          <w:rFonts w:ascii="Times New Roman" w:hAnsi="Times New Roman" w:cs="Times New Roman"/>
          <w:sz w:val="24"/>
          <w:szCs w:val="24"/>
        </w:rPr>
        <w:t>Manufacturers</w:t>
      </w:r>
      <w:bookmarkEnd w:id="12"/>
      <w:r w:rsidRPr="00F87467">
        <w:rPr>
          <w:rFonts w:ascii="Times New Roman" w:hAnsi="Times New Roman" w:cs="Times New Roman"/>
          <w:sz w:val="24"/>
          <w:szCs w:val="24"/>
        </w:rPr>
        <w:t xml:space="preserve"> </w:t>
      </w:r>
    </w:p>
    <w:p w14:paraId="18FDB9A2" w14:textId="49836D2B" w:rsidR="00FC23AA" w:rsidRPr="00F87467" w:rsidRDefault="00FC23AA" w:rsidP="00F87467">
      <w:pPr>
        <w:pStyle w:val="Heading2"/>
        <w:spacing w:before="60" w:after="60" w:line="276" w:lineRule="auto"/>
        <w:rPr>
          <w:rFonts w:eastAsiaTheme="minorHAnsi"/>
        </w:rPr>
      </w:pPr>
      <w:bookmarkStart w:id="13" w:name="_Toc59185378"/>
      <w:r w:rsidRPr="00F87467">
        <w:rPr>
          <w:rFonts w:eastAsiaTheme="minorHAnsi"/>
        </w:rPr>
        <w:t xml:space="preserve">The obligation to </w:t>
      </w:r>
      <w:r w:rsidR="004F3116" w:rsidRPr="00F87467">
        <w:rPr>
          <w:rFonts w:eastAsiaTheme="minorHAnsi"/>
        </w:rPr>
        <w:t>keep the declaration of conformity and the technical documentation for 5 years after placing the product on the market</w:t>
      </w:r>
      <w:bookmarkEnd w:id="13"/>
      <w:r w:rsidR="004F3116" w:rsidRPr="00F87467">
        <w:rPr>
          <w:rFonts w:eastAsiaTheme="minorHAnsi"/>
        </w:rPr>
        <w:t xml:space="preserve"> </w:t>
      </w:r>
    </w:p>
    <w:p w14:paraId="1DC18605" w14:textId="2827C6AE" w:rsidR="004F3116" w:rsidRPr="00F87467" w:rsidRDefault="004F3116" w:rsidP="00E717A1">
      <w:pPr>
        <w:pStyle w:val="Heading2"/>
        <w:numPr>
          <w:ilvl w:val="2"/>
          <w:numId w:val="3"/>
        </w:numPr>
        <w:spacing w:before="60" w:after="60" w:line="276" w:lineRule="auto"/>
        <w:rPr>
          <w:rFonts w:eastAsiaTheme="minorHAnsi"/>
        </w:rPr>
      </w:pPr>
      <w:bookmarkStart w:id="14" w:name="_Toc59185379"/>
      <w:r w:rsidRPr="00F87467">
        <w:rPr>
          <w:rFonts w:eastAsiaTheme="minorHAnsi"/>
        </w:rPr>
        <w:t>As of which date is this period of 5 years calculated for a production series of identical products?</w:t>
      </w:r>
      <w:bookmarkEnd w:id="14"/>
    </w:p>
    <w:p w14:paraId="6432FEEE" w14:textId="3005EB27" w:rsidR="003049CA" w:rsidRPr="00F87467" w:rsidRDefault="003049CA"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According to </w:t>
      </w:r>
      <w:r w:rsidR="009843AD" w:rsidRPr="00F87467">
        <w:rPr>
          <w:rFonts w:ascii="Times New Roman" w:hAnsi="Times New Roman" w:cs="Times New Roman"/>
          <w:sz w:val="24"/>
          <w:szCs w:val="24"/>
        </w:rPr>
        <w:t xml:space="preserve">the </w:t>
      </w:r>
      <w:hyperlink r:id="rId46"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manufacturers </w:t>
      </w:r>
      <w:r w:rsidR="00E818A5" w:rsidRPr="00F87467">
        <w:rPr>
          <w:rFonts w:ascii="Times New Roman" w:hAnsi="Times New Roman" w:cs="Times New Roman"/>
          <w:sz w:val="24"/>
          <w:szCs w:val="24"/>
        </w:rPr>
        <w:t xml:space="preserve">have to </w:t>
      </w:r>
      <w:r w:rsidRPr="00F87467">
        <w:rPr>
          <w:rFonts w:ascii="Times New Roman" w:hAnsi="Times New Roman" w:cs="Times New Roman"/>
          <w:sz w:val="24"/>
          <w:szCs w:val="24"/>
        </w:rPr>
        <w:t xml:space="preserve">keep the technical documentation and the EU declaration of conformity for 5 years after the respective EU fertilising product </w:t>
      </w:r>
      <w:r w:rsidR="00D86BAD" w:rsidRPr="00F87467">
        <w:rPr>
          <w:rFonts w:ascii="Times New Roman" w:hAnsi="Times New Roman" w:cs="Times New Roman"/>
          <w:sz w:val="24"/>
          <w:szCs w:val="24"/>
        </w:rPr>
        <w:t xml:space="preserve">has been placed on the market. </w:t>
      </w:r>
      <w:r w:rsidR="006A4406" w:rsidRPr="00F87467">
        <w:rPr>
          <w:rFonts w:ascii="Times New Roman" w:hAnsi="Times New Roman" w:cs="Times New Roman"/>
          <w:sz w:val="24"/>
          <w:szCs w:val="24"/>
        </w:rPr>
        <w:t>In this respect, “product” refers to an individual product, and not a product series.</w:t>
      </w:r>
      <w:r w:rsidR="00362744" w:rsidRPr="00F87467">
        <w:rPr>
          <w:rStyle w:val="FootnoteReference"/>
          <w:rFonts w:ascii="Times New Roman" w:hAnsi="Times New Roman" w:cs="Times New Roman"/>
          <w:sz w:val="24"/>
          <w:szCs w:val="24"/>
        </w:rPr>
        <w:footnoteReference w:id="1"/>
      </w:r>
      <w:r w:rsidR="006A4406" w:rsidRPr="00F87467">
        <w:rPr>
          <w:rFonts w:ascii="Times New Roman" w:hAnsi="Times New Roman" w:cs="Times New Roman"/>
          <w:sz w:val="24"/>
          <w:szCs w:val="24"/>
        </w:rPr>
        <w:t xml:space="preserve"> In other words, the 5 year</w:t>
      </w:r>
      <w:r w:rsidR="00D86BAD" w:rsidRPr="00F87467">
        <w:rPr>
          <w:rFonts w:ascii="Times New Roman" w:hAnsi="Times New Roman" w:cs="Times New Roman"/>
          <w:sz w:val="24"/>
          <w:szCs w:val="24"/>
        </w:rPr>
        <w:t xml:space="preserve"> period starts counting as from the date that the first batch / package of a production series of an EU fertilising product was made available on the Union market for distribution or use in the course of a commercial activity</w:t>
      </w:r>
      <w:r w:rsidR="006A4406" w:rsidRPr="00F87467">
        <w:rPr>
          <w:rFonts w:ascii="Times New Roman" w:hAnsi="Times New Roman" w:cs="Times New Roman"/>
          <w:sz w:val="24"/>
          <w:szCs w:val="24"/>
        </w:rPr>
        <w:t>, but then starts running again each time a new product is placed on the market, and ends only 5 years after the last product in the series has been placed on the market</w:t>
      </w:r>
      <w:r w:rsidR="00D86BAD" w:rsidRPr="00F87467">
        <w:rPr>
          <w:rFonts w:ascii="Times New Roman" w:hAnsi="Times New Roman" w:cs="Times New Roman"/>
          <w:sz w:val="24"/>
          <w:szCs w:val="24"/>
        </w:rPr>
        <w:t xml:space="preserve">.  </w:t>
      </w:r>
      <w:r w:rsidRPr="00F87467">
        <w:rPr>
          <w:rFonts w:ascii="Times New Roman" w:hAnsi="Times New Roman" w:cs="Times New Roman"/>
          <w:sz w:val="24"/>
          <w:szCs w:val="24"/>
        </w:rPr>
        <w:t xml:space="preserve"> </w:t>
      </w:r>
    </w:p>
    <w:p w14:paraId="5C36389D" w14:textId="77777777" w:rsidR="00324E31" w:rsidRPr="00F87467" w:rsidRDefault="00324E31" w:rsidP="00F87467">
      <w:pPr>
        <w:tabs>
          <w:tab w:val="left" w:pos="426"/>
        </w:tabs>
        <w:spacing w:before="60" w:after="60"/>
        <w:jc w:val="both"/>
        <w:rPr>
          <w:rFonts w:ascii="Times New Roman" w:hAnsi="Times New Roman" w:cs="Times New Roman"/>
          <w:sz w:val="24"/>
          <w:szCs w:val="24"/>
        </w:rPr>
      </w:pPr>
    </w:p>
    <w:p w14:paraId="3C653A75" w14:textId="549BCE84" w:rsidR="00796725" w:rsidRPr="00F87467" w:rsidRDefault="00796725" w:rsidP="00E717A1">
      <w:pPr>
        <w:pStyle w:val="Heading2"/>
        <w:numPr>
          <w:ilvl w:val="2"/>
          <w:numId w:val="3"/>
        </w:numPr>
        <w:spacing w:before="60" w:after="60" w:line="276" w:lineRule="auto"/>
        <w:rPr>
          <w:rFonts w:eastAsiaTheme="minorHAnsi"/>
        </w:rPr>
      </w:pPr>
      <w:r w:rsidRPr="00F87467">
        <w:rPr>
          <w:rFonts w:eastAsiaTheme="minorHAnsi"/>
        </w:rPr>
        <w:t xml:space="preserve"> </w:t>
      </w:r>
      <w:bookmarkStart w:id="15" w:name="_Toc59185380"/>
      <w:r w:rsidRPr="00F87467">
        <w:rPr>
          <w:rFonts w:eastAsiaTheme="minorHAnsi"/>
        </w:rPr>
        <w:t>How can manufacturers prove that a product was placed on the market more than 5 years ago?</w:t>
      </w:r>
      <w:bookmarkEnd w:id="15"/>
    </w:p>
    <w:p w14:paraId="7E05BD62" w14:textId="6B18D6D3" w:rsidR="00796725" w:rsidRPr="00F87467" w:rsidRDefault="00796725"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At horizontal level, there is currently no harmonised guidance for market surveillance authorities regarding which evidence to accept in this respect. However, placing a product on the market requires an offer or an agreement between two or more legal or natural persons for the transfer of ownership, possession or any other property right concerning the product in question after the stage of manufacture has taken place</w:t>
      </w:r>
      <w:r w:rsidRPr="00F87467">
        <w:rPr>
          <w:rStyle w:val="FootnoteReference"/>
          <w:rFonts w:ascii="Times New Roman" w:hAnsi="Times New Roman" w:cs="Times New Roman"/>
          <w:sz w:val="24"/>
          <w:szCs w:val="24"/>
        </w:rPr>
        <w:footnoteReference w:id="2"/>
      </w:r>
      <w:r w:rsidRPr="00F87467">
        <w:rPr>
          <w:rFonts w:ascii="Times New Roman" w:hAnsi="Times New Roman" w:cs="Times New Roman"/>
          <w:sz w:val="24"/>
          <w:szCs w:val="24"/>
        </w:rPr>
        <w:t>.</w:t>
      </w:r>
      <w:r w:rsidR="00D3511E" w:rsidRPr="00F87467">
        <w:rPr>
          <w:rFonts w:ascii="Times New Roman" w:hAnsi="Times New Roman" w:cs="Times New Roman"/>
          <w:sz w:val="24"/>
          <w:szCs w:val="24"/>
        </w:rPr>
        <w:t xml:space="preserve"> </w:t>
      </w:r>
      <w:r w:rsidRPr="00F87467">
        <w:rPr>
          <w:rFonts w:ascii="Times New Roman" w:hAnsi="Times New Roman" w:cs="Times New Roman"/>
          <w:sz w:val="24"/>
          <w:szCs w:val="24"/>
        </w:rPr>
        <w:t>Any documentation demonstrating the transfer of ownership should</w:t>
      </w:r>
      <w:r w:rsidR="003039F5" w:rsidRPr="00F87467">
        <w:rPr>
          <w:rFonts w:ascii="Times New Roman" w:hAnsi="Times New Roman" w:cs="Times New Roman"/>
          <w:sz w:val="24"/>
          <w:szCs w:val="24"/>
        </w:rPr>
        <w:t xml:space="preserve"> therefore</w:t>
      </w:r>
      <w:r w:rsidRPr="00F87467">
        <w:rPr>
          <w:rFonts w:ascii="Times New Roman" w:hAnsi="Times New Roman" w:cs="Times New Roman"/>
          <w:sz w:val="24"/>
          <w:szCs w:val="24"/>
        </w:rPr>
        <w:t xml:space="preserve"> be kept as proof for placing on the market.</w:t>
      </w:r>
    </w:p>
    <w:p w14:paraId="1667869E" w14:textId="77777777" w:rsidR="00D3511E" w:rsidRPr="00F87467" w:rsidRDefault="00D3511E" w:rsidP="00F87467">
      <w:pPr>
        <w:tabs>
          <w:tab w:val="left" w:pos="426"/>
        </w:tabs>
        <w:spacing w:before="60" w:after="60"/>
        <w:jc w:val="both"/>
        <w:rPr>
          <w:rFonts w:ascii="Times New Roman" w:hAnsi="Times New Roman" w:cs="Times New Roman"/>
          <w:sz w:val="24"/>
          <w:szCs w:val="24"/>
        </w:rPr>
      </w:pPr>
    </w:p>
    <w:p w14:paraId="5DED3BA9" w14:textId="2B29D296" w:rsidR="00103AB6" w:rsidRPr="00F87467" w:rsidRDefault="006E041C" w:rsidP="00F87467">
      <w:pPr>
        <w:pStyle w:val="Heading2"/>
        <w:spacing w:before="60" w:after="60" w:line="276" w:lineRule="auto"/>
        <w:rPr>
          <w:rFonts w:eastAsiaTheme="minorHAnsi"/>
        </w:rPr>
      </w:pPr>
      <w:bookmarkStart w:id="16" w:name="_Toc59185381"/>
      <w:r w:rsidRPr="00F87467">
        <w:rPr>
          <w:rFonts w:eastAsiaTheme="minorHAnsi"/>
        </w:rPr>
        <w:t>A</w:t>
      </w:r>
      <w:r w:rsidR="005F16DF" w:rsidRPr="00F87467">
        <w:rPr>
          <w:rFonts w:eastAsiaTheme="minorHAnsi"/>
        </w:rPr>
        <w:t xml:space="preserve"> company </w:t>
      </w:r>
      <w:r w:rsidR="00D833BA" w:rsidRPr="00F87467">
        <w:rPr>
          <w:rFonts w:eastAsiaTheme="minorHAnsi"/>
        </w:rPr>
        <w:t>repackages</w:t>
      </w:r>
      <w:r w:rsidR="00103AB6" w:rsidRPr="00F87467">
        <w:rPr>
          <w:rFonts w:eastAsiaTheme="minorHAnsi"/>
        </w:rPr>
        <w:t xml:space="preserve"> </w:t>
      </w:r>
      <w:r w:rsidR="004366A7" w:rsidRPr="00F87467">
        <w:rPr>
          <w:rFonts w:eastAsiaTheme="minorHAnsi"/>
        </w:rPr>
        <w:t xml:space="preserve">fertilising products </w:t>
      </w:r>
      <w:r w:rsidR="00103AB6" w:rsidRPr="00F87467">
        <w:rPr>
          <w:rFonts w:eastAsiaTheme="minorHAnsi"/>
        </w:rPr>
        <w:t xml:space="preserve">already marketed by the original manufacturer, </w:t>
      </w:r>
      <w:r w:rsidRPr="00F87467">
        <w:rPr>
          <w:rFonts w:eastAsiaTheme="minorHAnsi"/>
        </w:rPr>
        <w:t xml:space="preserve">and </w:t>
      </w:r>
      <w:r w:rsidR="00103AB6" w:rsidRPr="00F87467">
        <w:rPr>
          <w:rFonts w:eastAsiaTheme="minorHAnsi"/>
        </w:rPr>
        <w:t>gives them its own name and logo and then sells on the market</w:t>
      </w:r>
      <w:r w:rsidRPr="00F87467">
        <w:rPr>
          <w:rFonts w:eastAsiaTheme="minorHAnsi"/>
        </w:rPr>
        <w:t>. Is this company</w:t>
      </w:r>
      <w:r w:rsidR="005F16DF" w:rsidRPr="00F87467">
        <w:rPr>
          <w:rFonts w:eastAsiaTheme="minorHAnsi"/>
        </w:rPr>
        <w:t xml:space="preserve"> always considered a manufacturer for the purpose of</w:t>
      </w:r>
      <w:r w:rsidRPr="00F87467">
        <w:rPr>
          <w:rFonts w:eastAsiaTheme="minorHAnsi"/>
        </w:rPr>
        <w:t xml:space="preserve"> the</w:t>
      </w:r>
      <w:r w:rsidR="005F16DF" w:rsidRPr="00F87467">
        <w:rPr>
          <w:rFonts w:eastAsiaTheme="minorHAnsi"/>
        </w:rPr>
        <w:t xml:space="preserve"> FPR?</w:t>
      </w:r>
      <w:r w:rsidR="00103AB6" w:rsidRPr="00F87467">
        <w:rPr>
          <w:rFonts w:eastAsiaTheme="minorHAnsi"/>
        </w:rPr>
        <w:t xml:space="preserve"> </w:t>
      </w:r>
      <w:r w:rsidR="005F16DF" w:rsidRPr="00F87467">
        <w:rPr>
          <w:rFonts w:eastAsiaTheme="minorHAnsi"/>
        </w:rPr>
        <w:t xml:space="preserve">If so, how can it obtain </w:t>
      </w:r>
      <w:r w:rsidR="004366A7" w:rsidRPr="00F87467">
        <w:rPr>
          <w:rFonts w:eastAsiaTheme="minorHAnsi"/>
        </w:rPr>
        <w:t xml:space="preserve">information </w:t>
      </w:r>
      <w:r w:rsidR="005F16DF" w:rsidRPr="00F87467">
        <w:rPr>
          <w:rFonts w:eastAsiaTheme="minorHAnsi"/>
        </w:rPr>
        <w:t>about the design and production process to carry out the relevant conformity assessment procedure?</w:t>
      </w:r>
      <w:bookmarkEnd w:id="16"/>
    </w:p>
    <w:p w14:paraId="0D0EF8C5" w14:textId="3FA6F463" w:rsidR="00406442" w:rsidRDefault="00406442" w:rsidP="00F87467">
      <w:pPr>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Yes, a company which places the product on the market under its name or trademark becomes automatically the manufacturer for the purposes of </w:t>
      </w:r>
      <w:r w:rsidR="002801F7" w:rsidRPr="00F87467">
        <w:rPr>
          <w:rFonts w:ascii="Times New Roman" w:hAnsi="Times New Roman" w:cs="Times New Roman"/>
          <w:sz w:val="24"/>
          <w:szCs w:val="24"/>
        </w:rPr>
        <w:t xml:space="preserve">the </w:t>
      </w:r>
      <w:hyperlink r:id="rId47" w:history="1">
        <w:r w:rsidR="002801F7"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Therefore he</w:t>
      </w:r>
      <w:r w:rsidR="00377D34" w:rsidRPr="00F87467">
        <w:rPr>
          <w:rFonts w:ascii="Times New Roman" w:hAnsi="Times New Roman" w:cs="Times New Roman"/>
          <w:sz w:val="24"/>
          <w:szCs w:val="24"/>
        </w:rPr>
        <w:t xml:space="preserve"> or she</w:t>
      </w:r>
      <w:r w:rsidRPr="00F87467">
        <w:rPr>
          <w:rFonts w:ascii="Times New Roman" w:hAnsi="Times New Roman" w:cs="Times New Roman"/>
          <w:sz w:val="24"/>
          <w:szCs w:val="24"/>
        </w:rPr>
        <w:t xml:space="preserve"> takes the </w:t>
      </w:r>
      <w:r w:rsidRPr="00F87467">
        <w:rPr>
          <w:rFonts w:ascii="Times New Roman" w:hAnsi="Times New Roman" w:cs="Times New Roman"/>
          <w:sz w:val="24"/>
          <w:szCs w:val="24"/>
        </w:rPr>
        <w:lastRenderedPageBreak/>
        <w:t>entire responsibility for the conformity assessment (design and production) of the product, even if this has been actually done by somebody else. Furthermore he</w:t>
      </w:r>
      <w:r w:rsidR="00377D34" w:rsidRPr="00F87467">
        <w:rPr>
          <w:rFonts w:ascii="Times New Roman" w:hAnsi="Times New Roman" w:cs="Times New Roman"/>
          <w:sz w:val="24"/>
          <w:szCs w:val="24"/>
        </w:rPr>
        <w:t xml:space="preserve"> or she</w:t>
      </w:r>
      <w:r w:rsidRPr="00F87467">
        <w:rPr>
          <w:rFonts w:ascii="Times New Roman" w:hAnsi="Times New Roman" w:cs="Times New Roman"/>
          <w:sz w:val="24"/>
          <w:szCs w:val="24"/>
        </w:rPr>
        <w:t xml:space="preserve"> must be in the possession of all documentation and certificates necessary to demonstrate the conformity of the product, but these do not need to be under his</w:t>
      </w:r>
      <w:r w:rsidR="00377D34" w:rsidRPr="00F87467">
        <w:rPr>
          <w:rFonts w:ascii="Times New Roman" w:hAnsi="Times New Roman" w:cs="Times New Roman"/>
          <w:sz w:val="24"/>
          <w:szCs w:val="24"/>
        </w:rPr>
        <w:t xml:space="preserve"> or her</w:t>
      </w:r>
      <w:r w:rsidRPr="00F87467">
        <w:rPr>
          <w:rFonts w:ascii="Times New Roman" w:hAnsi="Times New Roman" w:cs="Times New Roman"/>
          <w:sz w:val="24"/>
          <w:szCs w:val="24"/>
        </w:rPr>
        <w:t xml:space="preserve"> name.</w:t>
      </w:r>
      <w:r w:rsidRPr="00F87467" w:rsidDel="005F16DF">
        <w:rPr>
          <w:rFonts w:ascii="Times New Roman" w:hAnsi="Times New Roman" w:cs="Times New Roman"/>
          <w:sz w:val="24"/>
          <w:szCs w:val="24"/>
        </w:rPr>
        <w:t xml:space="preserve"> </w:t>
      </w:r>
    </w:p>
    <w:p w14:paraId="65B7044C" w14:textId="77777777" w:rsidR="00814841" w:rsidRPr="00F87467" w:rsidRDefault="00814841" w:rsidP="00F87467">
      <w:pPr>
        <w:spacing w:before="60" w:after="60"/>
        <w:jc w:val="both"/>
        <w:rPr>
          <w:rFonts w:ascii="Times New Roman" w:hAnsi="Times New Roman" w:cs="Times New Roman"/>
          <w:sz w:val="24"/>
          <w:szCs w:val="24"/>
        </w:rPr>
      </w:pPr>
    </w:p>
    <w:p w14:paraId="39A6BFFA" w14:textId="4C0B6BFE" w:rsidR="00CD7517" w:rsidRPr="00F87467" w:rsidRDefault="00CD7517" w:rsidP="00F87467">
      <w:pPr>
        <w:pStyle w:val="Heading2"/>
        <w:spacing w:before="60" w:after="60" w:line="276" w:lineRule="auto"/>
      </w:pPr>
      <w:bookmarkStart w:id="17" w:name="_Toc59185382"/>
      <w:r w:rsidRPr="00F87467">
        <w:t xml:space="preserve">What </w:t>
      </w:r>
      <w:r w:rsidR="00541F98" w:rsidRPr="00F87467">
        <w:t xml:space="preserve">traceability elements </w:t>
      </w:r>
      <w:r w:rsidR="00C10589" w:rsidRPr="00F87467">
        <w:t xml:space="preserve">do </w:t>
      </w:r>
      <w:r w:rsidR="00541F98" w:rsidRPr="00F87467">
        <w:t xml:space="preserve">manufacturers </w:t>
      </w:r>
      <w:r w:rsidR="00C10589" w:rsidRPr="00F87467">
        <w:t xml:space="preserve">have </w:t>
      </w:r>
      <w:r w:rsidR="00541F98" w:rsidRPr="00F87467">
        <w:t>to include on the packaging?</w:t>
      </w:r>
      <w:bookmarkEnd w:id="17"/>
    </w:p>
    <w:p w14:paraId="01E95D3A" w14:textId="460BA30A" w:rsidR="00541F98" w:rsidRPr="00F87467" w:rsidRDefault="00541F98" w:rsidP="00F87467">
      <w:pPr>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Manufacturers have to ensure that the packaging of the EU fertilising products bears a type number or a batch number or any other element to allow their identification. For this purpose, the </w:t>
      </w:r>
      <w:hyperlink r:id="rId48"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takes into consideration that economic operators have already in their current practice established different ways </w:t>
      </w:r>
      <w:r w:rsidR="00814841">
        <w:rPr>
          <w:rFonts w:ascii="Times New Roman" w:hAnsi="Times New Roman" w:cs="Times New Roman"/>
          <w:sz w:val="24"/>
          <w:szCs w:val="24"/>
        </w:rPr>
        <w:t>of</w:t>
      </w:r>
      <w:r w:rsidRPr="00F87467">
        <w:rPr>
          <w:rFonts w:ascii="Times New Roman" w:hAnsi="Times New Roman" w:cs="Times New Roman"/>
          <w:sz w:val="24"/>
          <w:szCs w:val="24"/>
        </w:rPr>
        <w:t xml:space="preserve"> identifying and tracing the pro</w:t>
      </w:r>
      <w:r w:rsidR="00814841">
        <w:rPr>
          <w:rFonts w:ascii="Times New Roman" w:hAnsi="Times New Roman" w:cs="Times New Roman"/>
          <w:sz w:val="24"/>
          <w:szCs w:val="24"/>
        </w:rPr>
        <w:t>ducts that they make available o</w:t>
      </w:r>
      <w:r w:rsidRPr="00F87467">
        <w:rPr>
          <w:rFonts w:ascii="Times New Roman" w:hAnsi="Times New Roman" w:cs="Times New Roman"/>
          <w:sz w:val="24"/>
          <w:szCs w:val="24"/>
        </w:rPr>
        <w:t xml:space="preserve">n the single market and intends to allow them to keep their existent practices. </w:t>
      </w:r>
    </w:p>
    <w:p w14:paraId="66799CE1" w14:textId="3147929D" w:rsidR="00541F98" w:rsidRDefault="00541F98" w:rsidP="00F87467">
      <w:pPr>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The traceability obligations are important for market surveillance activities as they allow to easily identify products which are not </w:t>
      </w:r>
      <w:r w:rsidR="00D833BA" w:rsidRPr="00F87467">
        <w:rPr>
          <w:rFonts w:ascii="Times New Roman" w:hAnsi="Times New Roman" w:cs="Times New Roman"/>
          <w:sz w:val="24"/>
          <w:szCs w:val="24"/>
        </w:rPr>
        <w:t>compliant</w:t>
      </w:r>
      <w:r w:rsidRPr="00F87467">
        <w:rPr>
          <w:rFonts w:ascii="Times New Roman" w:hAnsi="Times New Roman" w:cs="Times New Roman"/>
          <w:sz w:val="24"/>
          <w:szCs w:val="24"/>
        </w:rPr>
        <w:t xml:space="preserve"> or present a risk.  </w:t>
      </w:r>
    </w:p>
    <w:p w14:paraId="21D069FA" w14:textId="77777777" w:rsidR="00814841" w:rsidRPr="00F87467" w:rsidRDefault="00814841" w:rsidP="00F87467">
      <w:pPr>
        <w:spacing w:before="60" w:after="60"/>
        <w:jc w:val="both"/>
        <w:rPr>
          <w:rFonts w:ascii="Times New Roman" w:hAnsi="Times New Roman" w:cs="Times New Roman"/>
          <w:sz w:val="24"/>
          <w:szCs w:val="24"/>
        </w:rPr>
      </w:pPr>
    </w:p>
    <w:p w14:paraId="2E35264E" w14:textId="6485DD58" w:rsidR="003049CA" w:rsidRPr="00000AF7" w:rsidRDefault="009549C4" w:rsidP="00E717A1">
      <w:pPr>
        <w:pStyle w:val="Heading1"/>
        <w:numPr>
          <w:ilvl w:val="0"/>
          <w:numId w:val="3"/>
        </w:numPr>
        <w:tabs>
          <w:tab w:val="left" w:pos="426"/>
        </w:tabs>
        <w:spacing w:before="60" w:after="60"/>
        <w:ind w:left="0" w:firstLine="0"/>
        <w:jc w:val="both"/>
        <w:rPr>
          <w:rFonts w:ascii="Times New Roman" w:hAnsi="Times New Roman" w:cs="Times New Roman"/>
          <w:color w:val="1F497D"/>
          <w:sz w:val="24"/>
          <w:szCs w:val="24"/>
        </w:rPr>
      </w:pPr>
      <w:bookmarkStart w:id="18" w:name="_Toc59185383"/>
      <w:r w:rsidRPr="00000AF7">
        <w:rPr>
          <w:rFonts w:ascii="Times New Roman" w:hAnsi="Times New Roman" w:cs="Times New Roman"/>
          <w:sz w:val="24"/>
          <w:szCs w:val="24"/>
        </w:rPr>
        <w:t>Distributors</w:t>
      </w:r>
      <w:bookmarkEnd w:id="18"/>
    </w:p>
    <w:p w14:paraId="3C249250" w14:textId="00388C79" w:rsidR="003049CA" w:rsidRPr="00F87467" w:rsidRDefault="00AE2609" w:rsidP="00F87467">
      <w:pPr>
        <w:pStyle w:val="Heading2"/>
        <w:spacing w:before="60" w:after="60" w:line="276" w:lineRule="auto"/>
        <w:rPr>
          <w:rFonts w:eastAsiaTheme="minorHAnsi"/>
        </w:rPr>
      </w:pPr>
      <w:r w:rsidRPr="00F87467">
        <w:rPr>
          <w:rFonts w:eastAsiaTheme="minorHAnsi"/>
        </w:rPr>
        <w:t xml:space="preserve"> </w:t>
      </w:r>
      <w:bookmarkStart w:id="19" w:name="_Toc59185384"/>
      <w:r w:rsidR="003049CA" w:rsidRPr="00F87467">
        <w:rPr>
          <w:rFonts w:eastAsiaTheme="minorHAnsi"/>
        </w:rPr>
        <w:t>Do</w:t>
      </w:r>
      <w:r w:rsidR="00333F51" w:rsidRPr="00F87467">
        <w:rPr>
          <w:rFonts w:eastAsiaTheme="minorHAnsi"/>
        </w:rPr>
        <w:t>es</w:t>
      </w:r>
      <w:r w:rsidR="003049CA" w:rsidRPr="00F87467">
        <w:rPr>
          <w:rFonts w:eastAsiaTheme="minorHAnsi"/>
        </w:rPr>
        <w:t xml:space="preserve"> the </w:t>
      </w:r>
      <w:r w:rsidR="00333F51" w:rsidRPr="00F87467">
        <w:rPr>
          <w:rFonts w:eastAsiaTheme="minorHAnsi"/>
        </w:rPr>
        <w:t xml:space="preserve">FPR </w:t>
      </w:r>
      <w:r w:rsidR="003049CA" w:rsidRPr="00F87467">
        <w:rPr>
          <w:rFonts w:eastAsiaTheme="minorHAnsi"/>
        </w:rPr>
        <w:t>change the obligations of distributors comparing to the current rules?</w:t>
      </w:r>
      <w:bookmarkEnd w:id="19"/>
    </w:p>
    <w:p w14:paraId="32A692C6" w14:textId="0007C53A" w:rsidR="0029720A" w:rsidRPr="00F87467" w:rsidRDefault="0029720A"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According to </w:t>
      </w:r>
      <w:r w:rsidR="00333F51" w:rsidRPr="00F87467">
        <w:rPr>
          <w:rFonts w:ascii="Times New Roman" w:hAnsi="Times New Roman" w:cs="Times New Roman"/>
          <w:sz w:val="24"/>
          <w:szCs w:val="24"/>
        </w:rPr>
        <w:t xml:space="preserve">the </w:t>
      </w:r>
      <w:hyperlink r:id="rId49"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provisions, the obligations of distributors of an EU fertilising product change in relation to the rules under </w:t>
      </w:r>
      <w:hyperlink r:id="rId50" w:history="1">
        <w:r w:rsidRPr="00F87467">
          <w:rPr>
            <w:rStyle w:val="Hyperlink"/>
            <w:rFonts w:ascii="Times New Roman" w:hAnsi="Times New Roman" w:cs="Times New Roman"/>
            <w:sz w:val="24"/>
            <w:szCs w:val="24"/>
          </w:rPr>
          <w:t xml:space="preserve">Regulation </w:t>
        </w:r>
        <w:r w:rsidR="00333F51" w:rsidRPr="00F87467">
          <w:rPr>
            <w:rStyle w:val="Hyperlink"/>
            <w:rFonts w:ascii="Times New Roman" w:hAnsi="Times New Roman" w:cs="Times New Roman"/>
            <w:sz w:val="24"/>
            <w:szCs w:val="24"/>
          </w:rPr>
          <w:t xml:space="preserve">(EC) No </w:t>
        </w:r>
        <w:r w:rsidRPr="00F87467">
          <w:rPr>
            <w:rStyle w:val="Hyperlink"/>
            <w:rFonts w:ascii="Times New Roman" w:hAnsi="Times New Roman" w:cs="Times New Roman"/>
            <w:sz w:val="24"/>
            <w:szCs w:val="24"/>
          </w:rPr>
          <w:t>2003/2003</w:t>
        </w:r>
      </w:hyperlink>
      <w:r w:rsidRPr="00F87467">
        <w:rPr>
          <w:rFonts w:ascii="Times New Roman" w:hAnsi="Times New Roman" w:cs="Times New Roman"/>
          <w:sz w:val="24"/>
          <w:szCs w:val="24"/>
        </w:rPr>
        <w:t xml:space="preserve">. </w:t>
      </w:r>
    </w:p>
    <w:p w14:paraId="757A585D" w14:textId="2C851F2C" w:rsidR="00437336" w:rsidRPr="00F87467" w:rsidRDefault="009A1618"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When </w:t>
      </w:r>
      <w:r w:rsidR="002C6059" w:rsidRPr="00F87467">
        <w:rPr>
          <w:rFonts w:ascii="Times New Roman" w:hAnsi="Times New Roman" w:cs="Times New Roman"/>
          <w:sz w:val="24"/>
          <w:szCs w:val="24"/>
        </w:rPr>
        <w:t>distributor</w:t>
      </w:r>
      <w:r w:rsidR="00DD7618" w:rsidRPr="00F87467">
        <w:rPr>
          <w:rFonts w:ascii="Times New Roman" w:hAnsi="Times New Roman" w:cs="Times New Roman"/>
          <w:sz w:val="24"/>
          <w:szCs w:val="24"/>
        </w:rPr>
        <w:t>s</w:t>
      </w:r>
      <w:r w:rsidR="002C6059" w:rsidRPr="00F87467">
        <w:rPr>
          <w:rFonts w:ascii="Times New Roman" w:hAnsi="Times New Roman" w:cs="Times New Roman"/>
          <w:sz w:val="24"/>
          <w:szCs w:val="24"/>
        </w:rPr>
        <w:t xml:space="preserve"> make available on the Union market an EU fertilising product, </w:t>
      </w:r>
      <w:r w:rsidR="00DD7618" w:rsidRPr="00F87467">
        <w:rPr>
          <w:rFonts w:ascii="Times New Roman" w:hAnsi="Times New Roman" w:cs="Times New Roman"/>
          <w:sz w:val="24"/>
          <w:szCs w:val="24"/>
        </w:rPr>
        <w:t xml:space="preserve">they </w:t>
      </w:r>
      <w:r w:rsidR="002C6059" w:rsidRPr="00F87467">
        <w:rPr>
          <w:rFonts w:ascii="Times New Roman" w:hAnsi="Times New Roman" w:cs="Times New Roman"/>
          <w:sz w:val="24"/>
          <w:szCs w:val="24"/>
        </w:rPr>
        <w:t>ha</w:t>
      </w:r>
      <w:r w:rsidR="00DD7618" w:rsidRPr="00F87467">
        <w:rPr>
          <w:rFonts w:ascii="Times New Roman" w:hAnsi="Times New Roman" w:cs="Times New Roman"/>
          <w:sz w:val="24"/>
          <w:szCs w:val="24"/>
        </w:rPr>
        <w:t>ve</w:t>
      </w:r>
      <w:r w:rsidR="002C6059" w:rsidRPr="00F87467">
        <w:rPr>
          <w:rFonts w:ascii="Times New Roman" w:hAnsi="Times New Roman" w:cs="Times New Roman"/>
          <w:sz w:val="24"/>
          <w:szCs w:val="24"/>
        </w:rPr>
        <w:t xml:space="preserve"> the obligation to verify that </w:t>
      </w:r>
      <w:r w:rsidR="009B6A26" w:rsidRPr="00F87467">
        <w:rPr>
          <w:rFonts w:ascii="Times New Roman" w:hAnsi="Times New Roman" w:cs="Times New Roman"/>
          <w:sz w:val="24"/>
          <w:szCs w:val="24"/>
        </w:rPr>
        <w:t>th</w:t>
      </w:r>
      <w:r w:rsidR="0050490A" w:rsidRPr="00F87467">
        <w:rPr>
          <w:rFonts w:ascii="Times New Roman" w:hAnsi="Times New Roman" w:cs="Times New Roman"/>
          <w:sz w:val="24"/>
          <w:szCs w:val="24"/>
        </w:rPr>
        <w:t>is</w:t>
      </w:r>
      <w:r w:rsidR="009B6A26" w:rsidRPr="00F87467">
        <w:rPr>
          <w:rFonts w:ascii="Times New Roman" w:hAnsi="Times New Roman" w:cs="Times New Roman"/>
          <w:sz w:val="24"/>
          <w:szCs w:val="24"/>
        </w:rPr>
        <w:t xml:space="preserve"> product is accompanied by the documents related to labelling requirements as specified in Annex III of </w:t>
      </w:r>
      <w:r w:rsidR="00333F51" w:rsidRPr="00F87467">
        <w:rPr>
          <w:rFonts w:ascii="Times New Roman" w:hAnsi="Times New Roman" w:cs="Times New Roman"/>
          <w:sz w:val="24"/>
          <w:szCs w:val="24"/>
        </w:rPr>
        <w:t xml:space="preserve">the </w:t>
      </w:r>
      <w:hyperlink r:id="rId51" w:history="1">
        <w:r w:rsidR="009B6A26" w:rsidRPr="00D53265">
          <w:rPr>
            <w:rStyle w:val="Hyperlink"/>
            <w:rFonts w:ascii="Times New Roman" w:hAnsi="Times New Roman" w:cs="Times New Roman"/>
            <w:sz w:val="24"/>
            <w:szCs w:val="24"/>
          </w:rPr>
          <w:t>FPR</w:t>
        </w:r>
      </w:hyperlink>
      <w:r w:rsidR="00437336" w:rsidRPr="00F87467">
        <w:rPr>
          <w:rFonts w:ascii="Times New Roman" w:hAnsi="Times New Roman" w:cs="Times New Roman"/>
          <w:sz w:val="24"/>
          <w:szCs w:val="24"/>
        </w:rPr>
        <w:t>.</w:t>
      </w:r>
      <w:r w:rsidR="002C6059" w:rsidRPr="00F87467">
        <w:rPr>
          <w:rFonts w:ascii="Times New Roman" w:hAnsi="Times New Roman" w:cs="Times New Roman"/>
          <w:sz w:val="24"/>
          <w:szCs w:val="24"/>
        </w:rPr>
        <w:t xml:space="preserve"> </w:t>
      </w:r>
    </w:p>
    <w:p w14:paraId="3C5FB2D1" w14:textId="2CD1D18E" w:rsidR="00DD7618" w:rsidRPr="00F87467" w:rsidRDefault="00DD7618"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The distributors have to ensure that the storage or transport conditions do not jeopardise the compliance with the requirements set out in the </w:t>
      </w:r>
      <w:hyperlink r:id="rId52"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w:t>
      </w:r>
    </w:p>
    <w:p w14:paraId="6342435C" w14:textId="50C46085" w:rsidR="00DD7618" w:rsidRPr="00F87467" w:rsidRDefault="00DD7618"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Distributor</w:t>
      </w:r>
      <w:r w:rsidR="006C4A3B" w:rsidRPr="00F87467">
        <w:rPr>
          <w:rFonts w:ascii="Times New Roman" w:hAnsi="Times New Roman" w:cs="Times New Roman"/>
          <w:sz w:val="24"/>
          <w:szCs w:val="24"/>
        </w:rPr>
        <w:t>s</w:t>
      </w:r>
      <w:r w:rsidRPr="00F87467">
        <w:rPr>
          <w:rFonts w:ascii="Times New Roman" w:hAnsi="Times New Roman" w:cs="Times New Roman"/>
          <w:sz w:val="24"/>
          <w:szCs w:val="24"/>
        </w:rPr>
        <w:t xml:space="preserve"> have also to take measures if they consider or have reason to believe that an EU fertilising product is not in conformity with </w:t>
      </w:r>
      <w:hyperlink r:id="rId53" w:history="1">
        <w:r w:rsidR="00057AFF"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In such cases, they will not make the product available on the market and inform the manufacturer or the importer and the market surveillance authorities thereof if the product presents a risk. If the product has been already made available on the market, distributors have to make sure that corrective measures are taken. In case of a product presenting a risk, they </w:t>
      </w:r>
      <w:r w:rsidR="00E818A5" w:rsidRPr="00F87467">
        <w:rPr>
          <w:rFonts w:ascii="Times New Roman" w:hAnsi="Times New Roman" w:cs="Times New Roman"/>
          <w:sz w:val="24"/>
          <w:szCs w:val="24"/>
        </w:rPr>
        <w:t>have to</w:t>
      </w:r>
      <w:r w:rsidRPr="00F87467">
        <w:rPr>
          <w:rFonts w:ascii="Times New Roman" w:hAnsi="Times New Roman" w:cs="Times New Roman"/>
          <w:sz w:val="24"/>
          <w:szCs w:val="24"/>
        </w:rPr>
        <w:t xml:space="preserve"> immediately inform the competent national authorities.</w:t>
      </w:r>
    </w:p>
    <w:p w14:paraId="67ED1C36" w14:textId="2CDBDF3F" w:rsidR="003049CA" w:rsidRPr="00F87467" w:rsidRDefault="00437336"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Following a reasoned request from a competent national authority, t</w:t>
      </w:r>
      <w:r w:rsidR="002C6059" w:rsidRPr="00F87467">
        <w:rPr>
          <w:rFonts w:ascii="Times New Roman" w:hAnsi="Times New Roman" w:cs="Times New Roman"/>
          <w:sz w:val="24"/>
          <w:szCs w:val="24"/>
        </w:rPr>
        <w:t>he distributor</w:t>
      </w:r>
      <w:r w:rsidRPr="00F87467">
        <w:rPr>
          <w:rFonts w:ascii="Times New Roman" w:hAnsi="Times New Roman" w:cs="Times New Roman"/>
          <w:sz w:val="24"/>
          <w:szCs w:val="24"/>
        </w:rPr>
        <w:t xml:space="preserve"> has the obligation to provide</w:t>
      </w:r>
      <w:r w:rsidR="002C6059" w:rsidRPr="00F87467">
        <w:rPr>
          <w:rFonts w:ascii="Times New Roman" w:hAnsi="Times New Roman" w:cs="Times New Roman"/>
          <w:sz w:val="24"/>
          <w:szCs w:val="24"/>
        </w:rPr>
        <w:t xml:space="preserve"> all necessary documentation </w:t>
      </w:r>
      <w:r w:rsidRPr="00F87467">
        <w:rPr>
          <w:rFonts w:ascii="Times New Roman" w:hAnsi="Times New Roman" w:cs="Times New Roman"/>
          <w:sz w:val="24"/>
          <w:szCs w:val="24"/>
        </w:rPr>
        <w:t xml:space="preserve">(technical documentation, EU declaration of conformity and any documents related to labelling requirements) in order to demonstrate the conformity of </w:t>
      </w:r>
      <w:r w:rsidR="0050490A" w:rsidRPr="00F87467">
        <w:rPr>
          <w:rFonts w:ascii="Times New Roman" w:hAnsi="Times New Roman" w:cs="Times New Roman"/>
          <w:sz w:val="24"/>
          <w:szCs w:val="24"/>
        </w:rPr>
        <w:t xml:space="preserve">an EU fertilising </w:t>
      </w:r>
      <w:r w:rsidRPr="00F87467">
        <w:rPr>
          <w:rFonts w:ascii="Times New Roman" w:hAnsi="Times New Roman" w:cs="Times New Roman"/>
          <w:sz w:val="24"/>
          <w:szCs w:val="24"/>
        </w:rPr>
        <w:t xml:space="preserve">product </w:t>
      </w:r>
      <w:r w:rsidR="0057549E" w:rsidRPr="00F87467">
        <w:rPr>
          <w:rFonts w:ascii="Times New Roman" w:hAnsi="Times New Roman" w:cs="Times New Roman"/>
          <w:sz w:val="24"/>
          <w:szCs w:val="24"/>
        </w:rPr>
        <w:t>with</w:t>
      </w:r>
      <w:r w:rsidRPr="00F87467">
        <w:rPr>
          <w:rFonts w:ascii="Times New Roman" w:hAnsi="Times New Roman" w:cs="Times New Roman"/>
          <w:sz w:val="24"/>
          <w:szCs w:val="24"/>
        </w:rPr>
        <w:t xml:space="preserve"> </w:t>
      </w:r>
      <w:r w:rsidR="00333F51" w:rsidRPr="00F87467">
        <w:rPr>
          <w:rFonts w:ascii="Times New Roman" w:hAnsi="Times New Roman" w:cs="Times New Roman"/>
          <w:sz w:val="24"/>
          <w:szCs w:val="24"/>
        </w:rPr>
        <w:t xml:space="preserve">the </w:t>
      </w:r>
      <w:hyperlink r:id="rId54"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w:t>
      </w:r>
    </w:p>
    <w:p w14:paraId="660917E5" w14:textId="77777777" w:rsidR="00736D73" w:rsidRPr="00F87467" w:rsidRDefault="00736D73" w:rsidP="00F87467">
      <w:pPr>
        <w:tabs>
          <w:tab w:val="left" w:pos="426"/>
        </w:tabs>
        <w:spacing w:before="60" w:after="60"/>
        <w:jc w:val="both"/>
        <w:rPr>
          <w:rFonts w:ascii="Times New Roman" w:hAnsi="Times New Roman" w:cs="Times New Roman"/>
          <w:sz w:val="24"/>
          <w:szCs w:val="24"/>
        </w:rPr>
      </w:pPr>
    </w:p>
    <w:p w14:paraId="1D338B2E" w14:textId="60C20FFD" w:rsidR="003049CA" w:rsidRPr="00F87467" w:rsidRDefault="003049CA" w:rsidP="00E717A1">
      <w:pPr>
        <w:pStyle w:val="Heading1"/>
        <w:numPr>
          <w:ilvl w:val="0"/>
          <w:numId w:val="3"/>
        </w:numPr>
        <w:tabs>
          <w:tab w:val="left" w:pos="426"/>
        </w:tabs>
        <w:spacing w:before="60" w:after="60"/>
        <w:ind w:left="0" w:firstLine="0"/>
        <w:jc w:val="both"/>
        <w:rPr>
          <w:rFonts w:ascii="Times New Roman" w:hAnsi="Times New Roman" w:cs="Times New Roman"/>
          <w:sz w:val="24"/>
          <w:szCs w:val="24"/>
        </w:rPr>
      </w:pPr>
      <w:bookmarkStart w:id="20" w:name="_Toc59185385"/>
      <w:r w:rsidRPr="00F87467">
        <w:rPr>
          <w:rFonts w:ascii="Times New Roman" w:hAnsi="Times New Roman" w:cs="Times New Roman"/>
          <w:sz w:val="24"/>
          <w:szCs w:val="24"/>
        </w:rPr>
        <w:t>Notified Bodies</w:t>
      </w:r>
      <w:bookmarkEnd w:id="20"/>
    </w:p>
    <w:p w14:paraId="66B04AB1" w14:textId="77777777" w:rsidR="00BD2935" w:rsidRPr="00F87467" w:rsidRDefault="00BD2935" w:rsidP="00F87467">
      <w:pPr>
        <w:pStyle w:val="Heading2"/>
        <w:spacing w:before="60" w:after="60" w:line="276" w:lineRule="auto"/>
        <w:rPr>
          <w:rFonts w:eastAsiaTheme="minorHAnsi"/>
        </w:rPr>
      </w:pPr>
      <w:bookmarkStart w:id="21" w:name="_Toc59185386"/>
      <w:r w:rsidRPr="00F87467">
        <w:rPr>
          <w:rFonts w:eastAsiaTheme="minorHAnsi"/>
        </w:rPr>
        <w:t>What is a notified body?</w:t>
      </w:r>
      <w:bookmarkEnd w:id="21"/>
    </w:p>
    <w:p w14:paraId="16A9475E" w14:textId="112B5A85" w:rsidR="00BD2935" w:rsidRPr="00F87467" w:rsidRDefault="00BD2935" w:rsidP="00F87467">
      <w:pPr>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A notified body is a conformity assessment body which has been notified based on the </w:t>
      </w:r>
      <w:hyperlink r:id="rId55"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by </w:t>
      </w:r>
      <w:r w:rsidR="00D833BA" w:rsidRPr="00F87467">
        <w:rPr>
          <w:rFonts w:ascii="Times New Roman" w:hAnsi="Times New Roman" w:cs="Times New Roman"/>
          <w:sz w:val="24"/>
          <w:szCs w:val="24"/>
        </w:rPr>
        <w:t>an</w:t>
      </w:r>
      <w:r w:rsidRPr="00F87467">
        <w:rPr>
          <w:rFonts w:ascii="Times New Roman" w:hAnsi="Times New Roman" w:cs="Times New Roman"/>
          <w:sz w:val="24"/>
          <w:szCs w:val="24"/>
        </w:rPr>
        <w:t xml:space="preserve"> EU country in order to perform specific conformity assessment procedures set out in the Regulation. </w:t>
      </w:r>
    </w:p>
    <w:p w14:paraId="4CBF5A17" w14:textId="4584E746" w:rsidR="00BD2935" w:rsidRPr="00F87467" w:rsidRDefault="00BD2935" w:rsidP="00F87467">
      <w:pPr>
        <w:spacing w:before="60" w:after="60"/>
        <w:jc w:val="both"/>
        <w:rPr>
          <w:rFonts w:ascii="Times New Roman" w:hAnsi="Times New Roman" w:cs="Times New Roman"/>
          <w:sz w:val="24"/>
          <w:szCs w:val="24"/>
        </w:rPr>
      </w:pPr>
      <w:r w:rsidRPr="00F87467">
        <w:rPr>
          <w:rFonts w:ascii="Times New Roman" w:hAnsi="Times New Roman" w:cs="Times New Roman"/>
          <w:sz w:val="24"/>
          <w:szCs w:val="24"/>
        </w:rPr>
        <w:lastRenderedPageBreak/>
        <w:t xml:space="preserve">Where the Regulation requires the intervention of a third-party in the conformity assessment procedures, such conformity assessment tasks can only be performed by notified bodies under the Regulation.  </w:t>
      </w:r>
    </w:p>
    <w:p w14:paraId="7988EE36" w14:textId="4CCB248D" w:rsidR="00BD2935" w:rsidRPr="00F87467" w:rsidRDefault="00BD2935" w:rsidP="00F87467">
      <w:pPr>
        <w:spacing w:before="60" w:after="60"/>
        <w:jc w:val="both"/>
        <w:rPr>
          <w:rFonts w:ascii="Times New Roman" w:hAnsi="Times New Roman" w:cs="Times New Roman"/>
          <w:sz w:val="24"/>
          <w:szCs w:val="24"/>
        </w:rPr>
      </w:pPr>
    </w:p>
    <w:p w14:paraId="4B302FC6" w14:textId="2846143C" w:rsidR="000E0CAE" w:rsidRPr="00F87467" w:rsidRDefault="000E0CAE" w:rsidP="00F87467">
      <w:pPr>
        <w:pStyle w:val="Heading2"/>
        <w:spacing w:before="60" w:after="60" w:line="276" w:lineRule="auto"/>
        <w:rPr>
          <w:rFonts w:eastAsiaTheme="minorHAnsi"/>
        </w:rPr>
      </w:pPr>
      <w:bookmarkStart w:id="22" w:name="_Toc59185387"/>
      <w:r w:rsidRPr="00F87467">
        <w:rPr>
          <w:rFonts w:eastAsiaTheme="minorHAnsi"/>
        </w:rPr>
        <w:t xml:space="preserve">What conditions does a conformity assessment body have to fulfil in order to become a notified body under the </w:t>
      </w:r>
      <w:r w:rsidR="006E041C" w:rsidRPr="00F87467">
        <w:rPr>
          <w:rFonts w:eastAsiaTheme="minorHAnsi"/>
        </w:rPr>
        <w:t>FPR</w:t>
      </w:r>
      <w:r w:rsidRPr="00F87467">
        <w:rPr>
          <w:rFonts w:eastAsiaTheme="minorHAnsi"/>
        </w:rPr>
        <w:t>? Can a private entity be a notified body</w:t>
      </w:r>
      <w:r w:rsidR="00692797" w:rsidRPr="00F87467">
        <w:rPr>
          <w:rFonts w:eastAsiaTheme="minorHAnsi"/>
        </w:rPr>
        <w:t>?</w:t>
      </w:r>
      <w:bookmarkEnd w:id="22"/>
    </w:p>
    <w:p w14:paraId="4C4621A8" w14:textId="23B2CB53" w:rsidR="000E0CAE" w:rsidRPr="00F87467" w:rsidRDefault="000E0CAE"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All conditions </w:t>
      </w:r>
      <w:r w:rsidR="00692797" w:rsidRPr="00F87467">
        <w:rPr>
          <w:rFonts w:ascii="Times New Roman" w:hAnsi="Times New Roman" w:cs="Times New Roman"/>
          <w:sz w:val="24"/>
          <w:szCs w:val="24"/>
        </w:rPr>
        <w:t xml:space="preserve">are </w:t>
      </w:r>
      <w:r w:rsidR="00D833BA" w:rsidRPr="00F87467">
        <w:rPr>
          <w:rFonts w:ascii="Times New Roman" w:hAnsi="Times New Roman" w:cs="Times New Roman"/>
          <w:sz w:val="24"/>
          <w:szCs w:val="24"/>
        </w:rPr>
        <w:t>laid</w:t>
      </w:r>
      <w:r w:rsidR="00692797" w:rsidRPr="00F87467">
        <w:rPr>
          <w:rFonts w:ascii="Times New Roman" w:hAnsi="Times New Roman" w:cs="Times New Roman"/>
          <w:sz w:val="24"/>
          <w:szCs w:val="24"/>
        </w:rPr>
        <w:t xml:space="preserve"> down</w:t>
      </w:r>
      <w:r w:rsidRPr="00F87467">
        <w:rPr>
          <w:rFonts w:ascii="Times New Roman" w:hAnsi="Times New Roman" w:cs="Times New Roman"/>
          <w:sz w:val="24"/>
          <w:szCs w:val="24"/>
        </w:rPr>
        <w:t xml:space="preserve"> in Article 24</w:t>
      </w:r>
      <w:r w:rsidR="0057549E" w:rsidRPr="00F87467">
        <w:rPr>
          <w:rFonts w:ascii="Times New Roman" w:hAnsi="Times New Roman" w:cs="Times New Roman"/>
          <w:sz w:val="24"/>
          <w:szCs w:val="24"/>
        </w:rPr>
        <w:t>(</w:t>
      </w:r>
      <w:r w:rsidRPr="00F87467">
        <w:rPr>
          <w:rFonts w:ascii="Times New Roman" w:hAnsi="Times New Roman" w:cs="Times New Roman"/>
          <w:sz w:val="24"/>
          <w:szCs w:val="24"/>
        </w:rPr>
        <w:t>2</w:t>
      </w:r>
      <w:r w:rsidR="0057549E" w:rsidRPr="00F87467">
        <w:rPr>
          <w:rFonts w:ascii="Times New Roman" w:hAnsi="Times New Roman" w:cs="Times New Roman"/>
          <w:sz w:val="24"/>
          <w:szCs w:val="24"/>
        </w:rPr>
        <w:t>)-(</w:t>
      </w:r>
      <w:r w:rsidRPr="00F87467">
        <w:rPr>
          <w:rFonts w:ascii="Times New Roman" w:hAnsi="Times New Roman" w:cs="Times New Roman"/>
          <w:sz w:val="24"/>
          <w:szCs w:val="24"/>
        </w:rPr>
        <w:t>11</w:t>
      </w:r>
      <w:r w:rsidR="0057549E" w:rsidRPr="00F87467">
        <w:rPr>
          <w:rFonts w:ascii="Times New Roman" w:hAnsi="Times New Roman" w:cs="Times New Roman"/>
          <w:sz w:val="24"/>
          <w:szCs w:val="24"/>
        </w:rPr>
        <w:t>)</w:t>
      </w:r>
      <w:r w:rsidRPr="00F87467">
        <w:rPr>
          <w:rFonts w:ascii="Times New Roman" w:hAnsi="Times New Roman" w:cs="Times New Roman"/>
          <w:sz w:val="24"/>
          <w:szCs w:val="24"/>
        </w:rPr>
        <w:t xml:space="preserve"> of </w:t>
      </w:r>
      <w:r w:rsidR="00692797" w:rsidRPr="00F87467">
        <w:rPr>
          <w:rFonts w:ascii="Times New Roman" w:hAnsi="Times New Roman" w:cs="Times New Roman"/>
          <w:sz w:val="24"/>
          <w:szCs w:val="24"/>
        </w:rPr>
        <w:t xml:space="preserve">the </w:t>
      </w:r>
      <w:hyperlink r:id="rId56"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In </w:t>
      </w:r>
      <w:r w:rsidR="00736D73" w:rsidRPr="00F87467">
        <w:rPr>
          <w:rFonts w:ascii="Times New Roman" w:hAnsi="Times New Roman" w:cs="Times New Roman"/>
          <w:sz w:val="24"/>
          <w:szCs w:val="24"/>
        </w:rPr>
        <w:t>short,</w:t>
      </w:r>
      <w:r w:rsidRPr="00F87467">
        <w:rPr>
          <w:rFonts w:ascii="Times New Roman" w:hAnsi="Times New Roman" w:cs="Times New Roman"/>
          <w:sz w:val="24"/>
          <w:szCs w:val="24"/>
        </w:rPr>
        <w:t xml:space="preserve"> </w:t>
      </w:r>
      <w:r w:rsidR="00692797" w:rsidRPr="00F87467">
        <w:rPr>
          <w:rFonts w:ascii="Times New Roman" w:hAnsi="Times New Roman" w:cs="Times New Roman"/>
          <w:sz w:val="24"/>
          <w:szCs w:val="24"/>
        </w:rPr>
        <w:t xml:space="preserve">the conformity assessment body </w:t>
      </w:r>
      <w:r w:rsidRPr="00F87467">
        <w:rPr>
          <w:rFonts w:ascii="Times New Roman" w:hAnsi="Times New Roman" w:cs="Times New Roman"/>
          <w:sz w:val="24"/>
          <w:szCs w:val="24"/>
        </w:rPr>
        <w:t>has to</w:t>
      </w:r>
      <w:r w:rsidR="00692797" w:rsidRPr="00F87467">
        <w:rPr>
          <w:rFonts w:ascii="Times New Roman" w:hAnsi="Times New Roman" w:cs="Times New Roman"/>
          <w:sz w:val="24"/>
          <w:szCs w:val="24"/>
        </w:rPr>
        <w:t>:</w:t>
      </w:r>
      <w:r w:rsidRPr="00F87467">
        <w:rPr>
          <w:rFonts w:ascii="Times New Roman" w:hAnsi="Times New Roman" w:cs="Times New Roman"/>
          <w:sz w:val="24"/>
          <w:szCs w:val="24"/>
        </w:rPr>
        <w:t xml:space="preserve"> </w:t>
      </w:r>
    </w:p>
    <w:p w14:paraId="4AC37E7B" w14:textId="3E1DB733" w:rsidR="000E0CAE" w:rsidRPr="002C01CD" w:rsidRDefault="000E0CAE" w:rsidP="006E54DF">
      <w:pPr>
        <w:pStyle w:val="ListParagraph"/>
        <w:numPr>
          <w:ilvl w:val="0"/>
          <w:numId w:val="32"/>
        </w:numPr>
        <w:tabs>
          <w:tab w:val="left" w:pos="284"/>
        </w:tabs>
        <w:spacing w:before="60" w:after="60"/>
        <w:jc w:val="both"/>
        <w:rPr>
          <w:rFonts w:eastAsiaTheme="minorHAnsi"/>
          <w:szCs w:val="24"/>
          <w:lang w:val="en-GB"/>
        </w:rPr>
      </w:pPr>
      <w:r w:rsidRPr="002C01CD">
        <w:rPr>
          <w:rFonts w:eastAsiaTheme="minorHAnsi"/>
          <w:szCs w:val="24"/>
          <w:lang w:val="en-GB"/>
        </w:rPr>
        <w:t>be established under the national law of a Member State and have legal personality</w:t>
      </w:r>
      <w:r w:rsidR="00354A65" w:rsidRPr="002C01CD">
        <w:rPr>
          <w:rFonts w:eastAsiaTheme="minorHAnsi"/>
          <w:szCs w:val="24"/>
          <w:lang w:val="en-GB"/>
        </w:rPr>
        <w:t>;</w:t>
      </w:r>
    </w:p>
    <w:p w14:paraId="1CE27CDF" w14:textId="10E27634" w:rsidR="000E0CAE" w:rsidRPr="002C01CD" w:rsidRDefault="000E0CAE" w:rsidP="006E54DF">
      <w:pPr>
        <w:pStyle w:val="ListParagraph"/>
        <w:numPr>
          <w:ilvl w:val="0"/>
          <w:numId w:val="32"/>
        </w:numPr>
        <w:tabs>
          <w:tab w:val="left" w:pos="284"/>
        </w:tabs>
        <w:spacing w:before="60" w:after="60"/>
        <w:jc w:val="both"/>
        <w:rPr>
          <w:rFonts w:eastAsiaTheme="minorHAnsi"/>
          <w:szCs w:val="24"/>
          <w:lang w:val="en-GB"/>
        </w:rPr>
      </w:pPr>
      <w:r w:rsidRPr="002C01CD">
        <w:rPr>
          <w:rFonts w:eastAsiaTheme="minorHAnsi"/>
          <w:szCs w:val="24"/>
          <w:lang w:val="en-GB"/>
        </w:rPr>
        <w:t>be a third party independent of the product/organisation it assesses</w:t>
      </w:r>
      <w:r w:rsidR="00354A65" w:rsidRPr="002C01CD">
        <w:rPr>
          <w:rFonts w:eastAsiaTheme="minorHAnsi"/>
          <w:szCs w:val="24"/>
          <w:lang w:val="en-GB"/>
        </w:rPr>
        <w:t>;</w:t>
      </w:r>
    </w:p>
    <w:p w14:paraId="4ED97558" w14:textId="459A0DA3" w:rsidR="005F7AB4" w:rsidRPr="002C01CD" w:rsidRDefault="005F7AB4" w:rsidP="006E54DF">
      <w:pPr>
        <w:pStyle w:val="ListParagraph"/>
        <w:numPr>
          <w:ilvl w:val="0"/>
          <w:numId w:val="32"/>
        </w:numPr>
        <w:tabs>
          <w:tab w:val="left" w:pos="284"/>
        </w:tabs>
        <w:spacing w:before="60" w:after="60"/>
        <w:jc w:val="both"/>
        <w:rPr>
          <w:rFonts w:eastAsiaTheme="minorHAnsi"/>
          <w:szCs w:val="24"/>
          <w:lang w:val="en-GB"/>
        </w:rPr>
      </w:pPr>
      <w:r w:rsidRPr="002C01CD">
        <w:rPr>
          <w:rFonts w:eastAsiaTheme="minorHAnsi"/>
          <w:szCs w:val="24"/>
          <w:lang w:val="en-GB"/>
        </w:rPr>
        <w:t xml:space="preserve">preserve its confidentiality, objectivity and impartiality to perform </w:t>
      </w:r>
      <w:r w:rsidR="001164D6" w:rsidRPr="002C01CD">
        <w:rPr>
          <w:rFonts w:eastAsiaTheme="minorHAnsi"/>
          <w:szCs w:val="24"/>
          <w:lang w:val="en-GB"/>
        </w:rPr>
        <w:t xml:space="preserve">assigned </w:t>
      </w:r>
      <w:r w:rsidRPr="002C01CD">
        <w:rPr>
          <w:rFonts w:eastAsiaTheme="minorHAnsi"/>
          <w:szCs w:val="24"/>
          <w:lang w:val="en-GB"/>
        </w:rPr>
        <w:t xml:space="preserve">conformity </w:t>
      </w:r>
      <w:r w:rsidR="00493DAD" w:rsidRPr="002C01CD">
        <w:rPr>
          <w:rFonts w:eastAsiaTheme="minorHAnsi"/>
          <w:szCs w:val="24"/>
          <w:lang w:val="en-GB"/>
        </w:rPr>
        <w:t xml:space="preserve"> </w:t>
      </w:r>
      <w:r w:rsidRPr="002C01CD">
        <w:rPr>
          <w:rFonts w:eastAsiaTheme="minorHAnsi"/>
          <w:szCs w:val="24"/>
          <w:lang w:val="en-GB"/>
        </w:rPr>
        <w:t>assessment activities</w:t>
      </w:r>
      <w:r w:rsidR="00354A65" w:rsidRPr="002C01CD">
        <w:rPr>
          <w:rFonts w:eastAsiaTheme="minorHAnsi"/>
          <w:szCs w:val="24"/>
          <w:lang w:val="en-GB"/>
        </w:rPr>
        <w:t>;</w:t>
      </w:r>
    </w:p>
    <w:p w14:paraId="1696513B" w14:textId="4209ED8C" w:rsidR="001164D6" w:rsidRPr="002C01CD" w:rsidRDefault="005F7AB4" w:rsidP="006E54DF">
      <w:pPr>
        <w:pStyle w:val="ListParagraph"/>
        <w:numPr>
          <w:ilvl w:val="0"/>
          <w:numId w:val="32"/>
        </w:numPr>
        <w:tabs>
          <w:tab w:val="left" w:pos="284"/>
        </w:tabs>
        <w:spacing w:before="60" w:after="60"/>
        <w:jc w:val="both"/>
        <w:rPr>
          <w:rFonts w:eastAsiaTheme="minorHAnsi"/>
          <w:szCs w:val="24"/>
          <w:lang w:val="en-GB"/>
        </w:rPr>
      </w:pPr>
      <w:r w:rsidRPr="002C01CD">
        <w:rPr>
          <w:rFonts w:eastAsiaTheme="minorHAnsi"/>
          <w:szCs w:val="24"/>
          <w:lang w:val="en-GB"/>
        </w:rPr>
        <w:t xml:space="preserve">have the </w:t>
      </w:r>
      <w:r w:rsidR="001164D6" w:rsidRPr="002C01CD">
        <w:rPr>
          <w:rFonts w:eastAsiaTheme="minorHAnsi"/>
          <w:szCs w:val="24"/>
          <w:lang w:val="en-GB"/>
        </w:rPr>
        <w:t xml:space="preserve">appropriate </w:t>
      </w:r>
      <w:r w:rsidRPr="002C01CD">
        <w:rPr>
          <w:rFonts w:eastAsiaTheme="minorHAnsi"/>
          <w:szCs w:val="24"/>
          <w:lang w:val="en-GB"/>
        </w:rPr>
        <w:t xml:space="preserve">human </w:t>
      </w:r>
      <w:r w:rsidR="00736D73" w:rsidRPr="002C01CD">
        <w:rPr>
          <w:rFonts w:eastAsiaTheme="minorHAnsi"/>
          <w:szCs w:val="24"/>
          <w:lang w:val="en-GB"/>
        </w:rPr>
        <w:t>resources</w:t>
      </w:r>
      <w:r w:rsidR="001164D6" w:rsidRPr="002C01CD">
        <w:rPr>
          <w:rFonts w:eastAsiaTheme="minorHAnsi"/>
          <w:szCs w:val="24"/>
          <w:lang w:val="en-GB"/>
        </w:rPr>
        <w:t xml:space="preserve"> and </w:t>
      </w:r>
      <w:r w:rsidR="00736D73" w:rsidRPr="002C01CD">
        <w:rPr>
          <w:rFonts w:eastAsiaTheme="minorHAnsi"/>
          <w:szCs w:val="24"/>
          <w:lang w:val="en-GB"/>
        </w:rPr>
        <w:t>infrastructure</w:t>
      </w:r>
      <w:r w:rsidR="001164D6" w:rsidRPr="002C01CD">
        <w:rPr>
          <w:rFonts w:eastAsiaTheme="minorHAnsi"/>
          <w:szCs w:val="24"/>
          <w:lang w:val="en-GB"/>
        </w:rPr>
        <w:t xml:space="preserve"> </w:t>
      </w:r>
      <w:r w:rsidRPr="002C01CD">
        <w:rPr>
          <w:rFonts w:eastAsiaTheme="minorHAnsi"/>
          <w:szCs w:val="24"/>
          <w:lang w:val="en-GB"/>
        </w:rPr>
        <w:t>to perform the assigned</w:t>
      </w:r>
      <w:r w:rsidR="001164D6" w:rsidRPr="002C01CD">
        <w:rPr>
          <w:rFonts w:eastAsiaTheme="minorHAnsi"/>
          <w:szCs w:val="24"/>
          <w:lang w:val="en-GB"/>
        </w:rPr>
        <w:t xml:space="preserve"> </w:t>
      </w:r>
      <w:r w:rsidRPr="002C01CD">
        <w:rPr>
          <w:rFonts w:eastAsiaTheme="minorHAnsi"/>
          <w:szCs w:val="24"/>
          <w:lang w:val="en-GB"/>
        </w:rPr>
        <w:t>activities</w:t>
      </w:r>
      <w:r w:rsidR="00354A65" w:rsidRPr="002C01CD">
        <w:rPr>
          <w:rFonts w:eastAsiaTheme="minorHAnsi"/>
          <w:szCs w:val="24"/>
          <w:lang w:val="en-GB"/>
        </w:rPr>
        <w:t>;</w:t>
      </w:r>
    </w:p>
    <w:p w14:paraId="2A357D51" w14:textId="11EAEAB4" w:rsidR="000E0CAE" w:rsidRPr="002C01CD" w:rsidRDefault="000F414A" w:rsidP="006E54DF">
      <w:pPr>
        <w:pStyle w:val="ListParagraph"/>
        <w:numPr>
          <w:ilvl w:val="0"/>
          <w:numId w:val="32"/>
        </w:numPr>
        <w:tabs>
          <w:tab w:val="left" w:pos="284"/>
        </w:tabs>
        <w:spacing w:before="60" w:after="60"/>
        <w:jc w:val="both"/>
        <w:rPr>
          <w:rFonts w:eastAsiaTheme="minorHAnsi"/>
          <w:szCs w:val="24"/>
          <w:lang w:val="en-GB"/>
        </w:rPr>
      </w:pPr>
      <w:r w:rsidRPr="002C01CD">
        <w:rPr>
          <w:rFonts w:eastAsiaTheme="minorHAnsi"/>
          <w:szCs w:val="24"/>
          <w:lang w:val="en-GB"/>
        </w:rPr>
        <w:t>t</w:t>
      </w:r>
      <w:r w:rsidR="001164D6" w:rsidRPr="002C01CD">
        <w:rPr>
          <w:rFonts w:eastAsiaTheme="minorHAnsi"/>
          <w:szCs w:val="24"/>
          <w:lang w:val="en-GB"/>
        </w:rPr>
        <w:t xml:space="preserve">ake out liability insurance for the conformity </w:t>
      </w:r>
      <w:r w:rsidR="00736D73" w:rsidRPr="002C01CD">
        <w:rPr>
          <w:rFonts w:eastAsiaTheme="minorHAnsi"/>
          <w:szCs w:val="24"/>
          <w:lang w:val="en-GB"/>
        </w:rPr>
        <w:t>assessment</w:t>
      </w:r>
      <w:r w:rsidR="00354A65" w:rsidRPr="002C01CD">
        <w:rPr>
          <w:rFonts w:eastAsiaTheme="minorHAnsi"/>
          <w:szCs w:val="24"/>
          <w:lang w:val="en-GB"/>
        </w:rPr>
        <w:t>.</w:t>
      </w:r>
      <w:r w:rsidR="005F7AB4" w:rsidRPr="002C01CD">
        <w:rPr>
          <w:rFonts w:eastAsiaTheme="minorHAnsi"/>
          <w:szCs w:val="24"/>
          <w:lang w:val="en-GB"/>
        </w:rPr>
        <w:t xml:space="preserve"> </w:t>
      </w:r>
    </w:p>
    <w:p w14:paraId="770E45CA" w14:textId="5F9B4199" w:rsidR="001164D6" w:rsidRPr="00F87467" w:rsidRDefault="001164D6"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Apart from </w:t>
      </w:r>
      <w:r w:rsidR="0057549E" w:rsidRPr="00F87467">
        <w:rPr>
          <w:rFonts w:ascii="Times New Roman" w:hAnsi="Times New Roman" w:cs="Times New Roman"/>
          <w:sz w:val="24"/>
          <w:szCs w:val="24"/>
        </w:rPr>
        <w:t>public</w:t>
      </w:r>
      <w:r w:rsidRPr="00F87467">
        <w:rPr>
          <w:rFonts w:ascii="Times New Roman" w:hAnsi="Times New Roman" w:cs="Times New Roman"/>
          <w:sz w:val="24"/>
          <w:szCs w:val="24"/>
        </w:rPr>
        <w:t xml:space="preserve"> conformity assessment bodies, private entities can also </w:t>
      </w:r>
      <w:r w:rsidR="009549C4" w:rsidRPr="00F87467">
        <w:rPr>
          <w:rFonts w:ascii="Times New Roman" w:hAnsi="Times New Roman" w:cs="Times New Roman"/>
          <w:sz w:val="24"/>
          <w:szCs w:val="24"/>
        </w:rPr>
        <w:t xml:space="preserve">receive notification </w:t>
      </w:r>
      <w:r w:rsidRPr="00F87467">
        <w:rPr>
          <w:rFonts w:ascii="Times New Roman" w:hAnsi="Times New Roman" w:cs="Times New Roman"/>
          <w:sz w:val="24"/>
          <w:szCs w:val="24"/>
        </w:rPr>
        <w:t>and become notified bodies</w:t>
      </w:r>
      <w:r w:rsidR="00A7507B" w:rsidRPr="00F87467">
        <w:rPr>
          <w:rFonts w:ascii="Times New Roman" w:hAnsi="Times New Roman" w:cs="Times New Roman"/>
          <w:sz w:val="24"/>
          <w:szCs w:val="24"/>
        </w:rPr>
        <w:t xml:space="preserve"> in accordance with national legislation</w:t>
      </w:r>
      <w:r w:rsidRPr="00F87467">
        <w:rPr>
          <w:rFonts w:ascii="Times New Roman" w:hAnsi="Times New Roman" w:cs="Times New Roman"/>
          <w:sz w:val="24"/>
          <w:szCs w:val="24"/>
        </w:rPr>
        <w:t>.</w:t>
      </w:r>
    </w:p>
    <w:p w14:paraId="78B40EC6" w14:textId="77777777" w:rsidR="000E0CAE" w:rsidRPr="00F87467" w:rsidRDefault="000E0CAE" w:rsidP="00F87467">
      <w:pPr>
        <w:pStyle w:val="ListParagraph"/>
        <w:tabs>
          <w:tab w:val="left" w:pos="426"/>
        </w:tabs>
        <w:spacing w:before="60" w:after="60" w:line="276" w:lineRule="auto"/>
        <w:ind w:left="0"/>
        <w:jc w:val="both"/>
        <w:rPr>
          <w:rFonts w:eastAsiaTheme="minorHAnsi"/>
          <w:szCs w:val="24"/>
          <w:lang w:val="en-GB" w:eastAsia="en-US"/>
        </w:rPr>
      </w:pPr>
    </w:p>
    <w:p w14:paraId="0A3D1954" w14:textId="7C3AC2DE" w:rsidR="009549C4" w:rsidRPr="00F87467" w:rsidRDefault="00616928" w:rsidP="00F87467">
      <w:pPr>
        <w:pStyle w:val="Heading2"/>
        <w:spacing w:before="60" w:after="60" w:line="276" w:lineRule="auto"/>
        <w:rPr>
          <w:rFonts w:eastAsiaTheme="minorHAnsi"/>
        </w:rPr>
      </w:pPr>
      <w:r w:rsidRPr="00F87467">
        <w:rPr>
          <w:rFonts w:eastAsiaTheme="minorHAnsi"/>
        </w:rPr>
        <w:t xml:space="preserve"> </w:t>
      </w:r>
      <w:bookmarkStart w:id="23" w:name="_Toc59185388"/>
      <w:r w:rsidR="000E0CAE" w:rsidRPr="00F87467">
        <w:rPr>
          <w:rFonts w:eastAsiaTheme="minorHAnsi"/>
        </w:rPr>
        <w:t xml:space="preserve">What procedure does a conformity assessment body have to follow to ask the notification under the </w:t>
      </w:r>
      <w:r w:rsidR="00354A65" w:rsidRPr="00F87467">
        <w:rPr>
          <w:rFonts w:eastAsiaTheme="minorHAnsi"/>
        </w:rPr>
        <w:t>FPR</w:t>
      </w:r>
      <w:r w:rsidR="000E0CAE" w:rsidRPr="00F87467">
        <w:rPr>
          <w:rFonts w:eastAsiaTheme="minorHAnsi"/>
        </w:rPr>
        <w:t>?</w:t>
      </w:r>
      <w:bookmarkEnd w:id="23"/>
    </w:p>
    <w:p w14:paraId="5D903418" w14:textId="323A2D84" w:rsidR="00354A65" w:rsidRPr="00F87467" w:rsidRDefault="00A65DDC" w:rsidP="00F87467">
      <w:pPr>
        <w:tabs>
          <w:tab w:val="left" w:pos="426"/>
          <w:tab w:val="left" w:pos="851"/>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The notification of </w:t>
      </w:r>
      <w:r w:rsidR="00354A65" w:rsidRPr="00F87467">
        <w:rPr>
          <w:rFonts w:ascii="Times New Roman" w:hAnsi="Times New Roman" w:cs="Times New Roman"/>
          <w:sz w:val="24"/>
          <w:szCs w:val="24"/>
        </w:rPr>
        <w:t xml:space="preserve">conformity assessment </w:t>
      </w:r>
      <w:r w:rsidRPr="00F87467">
        <w:rPr>
          <w:rFonts w:ascii="Times New Roman" w:hAnsi="Times New Roman" w:cs="Times New Roman"/>
          <w:sz w:val="24"/>
          <w:szCs w:val="24"/>
        </w:rPr>
        <w:t>bodies, as well as their withdrawal</w:t>
      </w:r>
      <w:r w:rsidR="00354A65" w:rsidRPr="00F87467">
        <w:rPr>
          <w:rFonts w:ascii="Times New Roman" w:hAnsi="Times New Roman" w:cs="Times New Roman"/>
          <w:sz w:val="24"/>
          <w:szCs w:val="24"/>
        </w:rPr>
        <w:t xml:space="preserve"> from the list of notified bodies</w:t>
      </w:r>
      <w:r w:rsidRPr="00F87467">
        <w:rPr>
          <w:rFonts w:ascii="Times New Roman" w:hAnsi="Times New Roman" w:cs="Times New Roman"/>
          <w:sz w:val="24"/>
          <w:szCs w:val="24"/>
        </w:rPr>
        <w:t xml:space="preserve">, are the responsibility of the notifying </w:t>
      </w:r>
      <w:r w:rsidR="00354A65" w:rsidRPr="00F87467">
        <w:rPr>
          <w:rFonts w:ascii="Times New Roman" w:hAnsi="Times New Roman" w:cs="Times New Roman"/>
          <w:sz w:val="24"/>
          <w:szCs w:val="24"/>
        </w:rPr>
        <w:t xml:space="preserve">authority in a </w:t>
      </w:r>
      <w:r w:rsidRPr="00F87467">
        <w:rPr>
          <w:rFonts w:ascii="Times New Roman" w:hAnsi="Times New Roman" w:cs="Times New Roman"/>
          <w:sz w:val="24"/>
          <w:szCs w:val="24"/>
        </w:rPr>
        <w:t xml:space="preserve">Member State. </w:t>
      </w:r>
    </w:p>
    <w:p w14:paraId="34A029E4" w14:textId="0F5A3005" w:rsidR="00354A65" w:rsidRPr="00F87467" w:rsidRDefault="00354A65" w:rsidP="00F87467">
      <w:pPr>
        <w:tabs>
          <w:tab w:val="left" w:pos="426"/>
          <w:tab w:val="left" w:pos="851"/>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The procedure to be followed has to be laid down in national legislation, in compliance with the rules included in the </w:t>
      </w:r>
      <w:hyperlink r:id="rId57"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w:t>
      </w:r>
    </w:p>
    <w:p w14:paraId="7CE9F165" w14:textId="337957B2" w:rsidR="00736D73" w:rsidRPr="00F87467" w:rsidRDefault="00A65DDC" w:rsidP="00F87467">
      <w:pPr>
        <w:tabs>
          <w:tab w:val="left" w:pos="426"/>
          <w:tab w:val="left" w:pos="851"/>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In order to facilitate the pre</w:t>
      </w:r>
      <w:r w:rsidR="00102A0E" w:rsidRPr="00F87467">
        <w:rPr>
          <w:rFonts w:ascii="Times New Roman" w:hAnsi="Times New Roman" w:cs="Times New Roman"/>
          <w:sz w:val="24"/>
          <w:szCs w:val="24"/>
        </w:rPr>
        <w:t>paratory work as regards the desi</w:t>
      </w:r>
      <w:r w:rsidRPr="00F87467">
        <w:rPr>
          <w:rFonts w:ascii="Times New Roman" w:hAnsi="Times New Roman" w:cs="Times New Roman"/>
          <w:sz w:val="24"/>
          <w:szCs w:val="24"/>
        </w:rPr>
        <w:t xml:space="preserve">gnation of notified bodies in Member States, Commission has created the </w:t>
      </w:r>
      <w:hyperlink r:id="rId58" w:history="1">
        <w:r w:rsidRPr="00F87467">
          <w:rPr>
            <w:rStyle w:val="Hyperlink"/>
            <w:rFonts w:ascii="Times New Roman" w:hAnsi="Times New Roman" w:cs="Times New Roman"/>
            <w:sz w:val="24"/>
            <w:szCs w:val="24"/>
          </w:rPr>
          <w:t>NANDO database</w:t>
        </w:r>
      </w:hyperlink>
      <w:r w:rsidR="00542333" w:rsidRPr="00F87467">
        <w:rPr>
          <w:rFonts w:ascii="Times New Roman" w:hAnsi="Times New Roman" w:cs="Times New Roman"/>
          <w:sz w:val="24"/>
          <w:szCs w:val="24"/>
        </w:rPr>
        <w:t xml:space="preserve">. </w:t>
      </w:r>
      <w:r w:rsidRPr="00F87467">
        <w:rPr>
          <w:rFonts w:ascii="Times New Roman" w:hAnsi="Times New Roman" w:cs="Times New Roman"/>
          <w:sz w:val="24"/>
          <w:szCs w:val="24"/>
        </w:rPr>
        <w:t>A</w:t>
      </w:r>
      <w:r w:rsidR="003C3312" w:rsidRPr="00F87467">
        <w:rPr>
          <w:rFonts w:ascii="Times New Roman" w:hAnsi="Times New Roman" w:cs="Times New Roman"/>
          <w:sz w:val="24"/>
          <w:szCs w:val="24"/>
        </w:rPr>
        <w:t xml:space="preserve">ll the information related to </w:t>
      </w:r>
      <w:r w:rsidR="00736D73" w:rsidRPr="00F87467">
        <w:rPr>
          <w:rFonts w:ascii="Times New Roman" w:hAnsi="Times New Roman" w:cs="Times New Roman"/>
          <w:sz w:val="24"/>
          <w:szCs w:val="24"/>
        </w:rPr>
        <w:t xml:space="preserve">the </w:t>
      </w:r>
      <w:r w:rsidR="00874483" w:rsidRPr="00F87467">
        <w:rPr>
          <w:rFonts w:ascii="Times New Roman" w:hAnsi="Times New Roman" w:cs="Times New Roman"/>
          <w:sz w:val="24"/>
          <w:szCs w:val="24"/>
        </w:rPr>
        <w:t>procedure that a</w:t>
      </w:r>
      <w:r w:rsidRPr="00F87467">
        <w:rPr>
          <w:rFonts w:ascii="Times New Roman" w:hAnsi="Times New Roman" w:cs="Times New Roman"/>
          <w:sz w:val="24"/>
          <w:szCs w:val="24"/>
        </w:rPr>
        <w:t xml:space="preserve"> conformity assessment body has</w:t>
      </w:r>
      <w:r w:rsidR="00874483" w:rsidRPr="00F87467">
        <w:rPr>
          <w:rFonts w:ascii="Times New Roman" w:hAnsi="Times New Roman" w:cs="Times New Roman"/>
          <w:sz w:val="24"/>
          <w:szCs w:val="24"/>
        </w:rPr>
        <w:t xml:space="preserve"> to follow</w:t>
      </w:r>
      <w:r w:rsidRPr="00F87467">
        <w:rPr>
          <w:rFonts w:ascii="Times New Roman" w:hAnsi="Times New Roman" w:cs="Times New Roman"/>
          <w:sz w:val="24"/>
          <w:szCs w:val="24"/>
        </w:rPr>
        <w:t>,</w:t>
      </w:r>
      <w:r w:rsidR="00736D73" w:rsidRPr="00F87467">
        <w:rPr>
          <w:rFonts w:ascii="Times New Roman" w:hAnsi="Times New Roman" w:cs="Times New Roman"/>
          <w:sz w:val="24"/>
          <w:szCs w:val="24"/>
        </w:rPr>
        <w:t xml:space="preserve"> </w:t>
      </w:r>
      <w:r w:rsidR="003C3312" w:rsidRPr="00F87467">
        <w:rPr>
          <w:rFonts w:ascii="Times New Roman" w:hAnsi="Times New Roman" w:cs="Times New Roman"/>
          <w:sz w:val="24"/>
          <w:szCs w:val="24"/>
        </w:rPr>
        <w:t xml:space="preserve">in order to </w:t>
      </w:r>
      <w:r w:rsidR="00874483" w:rsidRPr="00F87467">
        <w:rPr>
          <w:rFonts w:ascii="Times New Roman" w:hAnsi="Times New Roman" w:cs="Times New Roman"/>
          <w:sz w:val="24"/>
          <w:szCs w:val="24"/>
        </w:rPr>
        <w:t xml:space="preserve">apply for </w:t>
      </w:r>
      <w:r w:rsidR="003C3312" w:rsidRPr="00F87467">
        <w:rPr>
          <w:rFonts w:ascii="Times New Roman" w:hAnsi="Times New Roman" w:cs="Times New Roman"/>
          <w:sz w:val="24"/>
          <w:szCs w:val="24"/>
        </w:rPr>
        <w:t xml:space="preserve">a </w:t>
      </w:r>
      <w:r w:rsidR="00874483" w:rsidRPr="00F87467">
        <w:rPr>
          <w:rFonts w:ascii="Times New Roman" w:hAnsi="Times New Roman" w:cs="Times New Roman"/>
          <w:sz w:val="24"/>
          <w:szCs w:val="24"/>
        </w:rPr>
        <w:t xml:space="preserve">notification </w:t>
      </w:r>
      <w:r w:rsidRPr="00F87467">
        <w:rPr>
          <w:rFonts w:ascii="Times New Roman" w:hAnsi="Times New Roman" w:cs="Times New Roman"/>
          <w:sz w:val="24"/>
          <w:szCs w:val="24"/>
        </w:rPr>
        <w:t xml:space="preserve">in a Member State </w:t>
      </w:r>
      <w:r w:rsidR="003C3312" w:rsidRPr="00F87467">
        <w:rPr>
          <w:rFonts w:ascii="Times New Roman" w:hAnsi="Times New Roman" w:cs="Times New Roman"/>
          <w:sz w:val="24"/>
          <w:szCs w:val="24"/>
        </w:rPr>
        <w:t xml:space="preserve">will be made available </w:t>
      </w:r>
      <w:r w:rsidR="00874483" w:rsidRPr="00F87467">
        <w:rPr>
          <w:rFonts w:ascii="Times New Roman" w:hAnsi="Times New Roman" w:cs="Times New Roman"/>
          <w:sz w:val="24"/>
          <w:szCs w:val="24"/>
        </w:rPr>
        <w:t xml:space="preserve">in </w:t>
      </w:r>
      <w:r w:rsidR="0040163C" w:rsidRPr="00F87467">
        <w:rPr>
          <w:rFonts w:ascii="Times New Roman" w:hAnsi="Times New Roman" w:cs="Times New Roman"/>
          <w:sz w:val="24"/>
          <w:szCs w:val="24"/>
        </w:rPr>
        <w:t xml:space="preserve">the </w:t>
      </w:r>
      <w:r w:rsidR="00874483" w:rsidRPr="00F87467">
        <w:rPr>
          <w:rFonts w:ascii="Times New Roman" w:hAnsi="Times New Roman" w:cs="Times New Roman"/>
          <w:sz w:val="24"/>
          <w:szCs w:val="24"/>
        </w:rPr>
        <w:t xml:space="preserve">NANDO </w:t>
      </w:r>
      <w:r w:rsidR="00AE2609" w:rsidRPr="00F87467">
        <w:rPr>
          <w:rFonts w:ascii="Times New Roman" w:hAnsi="Times New Roman" w:cs="Times New Roman"/>
          <w:sz w:val="24"/>
          <w:szCs w:val="24"/>
        </w:rPr>
        <w:t>data</w:t>
      </w:r>
      <w:r w:rsidR="003C3312" w:rsidRPr="00F87467">
        <w:rPr>
          <w:rFonts w:ascii="Times New Roman" w:hAnsi="Times New Roman" w:cs="Times New Roman"/>
          <w:sz w:val="24"/>
          <w:szCs w:val="24"/>
        </w:rPr>
        <w:t xml:space="preserve">base </w:t>
      </w:r>
      <w:r w:rsidR="00354A65" w:rsidRPr="00F87467">
        <w:rPr>
          <w:rFonts w:ascii="Times New Roman" w:hAnsi="Times New Roman" w:cs="Times New Roman"/>
          <w:sz w:val="24"/>
          <w:szCs w:val="24"/>
        </w:rPr>
        <w:t>once transmitted by Member States</w:t>
      </w:r>
      <w:r w:rsidRPr="00F87467">
        <w:rPr>
          <w:rFonts w:ascii="Times New Roman" w:hAnsi="Times New Roman" w:cs="Times New Roman"/>
          <w:sz w:val="24"/>
          <w:szCs w:val="24"/>
        </w:rPr>
        <w:t xml:space="preserve">. </w:t>
      </w:r>
    </w:p>
    <w:p w14:paraId="76FCBA15" w14:textId="4CDD9358" w:rsidR="00261D10" w:rsidRPr="00F87467" w:rsidRDefault="00D3511E"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T</w:t>
      </w:r>
      <w:r w:rsidR="003C3312" w:rsidRPr="00F87467">
        <w:rPr>
          <w:rFonts w:ascii="Times New Roman" w:hAnsi="Times New Roman" w:cs="Times New Roman"/>
          <w:sz w:val="24"/>
          <w:szCs w:val="24"/>
        </w:rPr>
        <w:t>he Commission create</w:t>
      </w:r>
      <w:r w:rsidRPr="00F87467">
        <w:rPr>
          <w:rFonts w:ascii="Times New Roman" w:hAnsi="Times New Roman" w:cs="Times New Roman"/>
          <w:sz w:val="24"/>
          <w:szCs w:val="24"/>
        </w:rPr>
        <w:t>d</w:t>
      </w:r>
      <w:r w:rsidR="003C3312" w:rsidRPr="00F87467">
        <w:rPr>
          <w:rFonts w:ascii="Times New Roman" w:hAnsi="Times New Roman" w:cs="Times New Roman"/>
          <w:sz w:val="24"/>
          <w:szCs w:val="24"/>
        </w:rPr>
        <w:t xml:space="preserve"> a dedicated space for </w:t>
      </w:r>
      <w:r w:rsidR="00354A65" w:rsidRPr="00F87467">
        <w:rPr>
          <w:rFonts w:ascii="Times New Roman" w:hAnsi="Times New Roman" w:cs="Times New Roman"/>
          <w:sz w:val="24"/>
          <w:szCs w:val="24"/>
        </w:rPr>
        <w:t xml:space="preserve">the </w:t>
      </w:r>
      <w:hyperlink r:id="rId59" w:history="1">
        <w:r w:rsidR="003C3312"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in order to </w:t>
      </w:r>
      <w:r w:rsidR="003C3312" w:rsidRPr="00F87467">
        <w:rPr>
          <w:rFonts w:ascii="Times New Roman" w:hAnsi="Times New Roman" w:cs="Times New Roman"/>
          <w:sz w:val="24"/>
          <w:szCs w:val="24"/>
        </w:rPr>
        <w:t>make publicly available information related to</w:t>
      </w:r>
      <w:r w:rsidR="00261D10" w:rsidRPr="00F87467">
        <w:rPr>
          <w:rFonts w:ascii="Times New Roman" w:hAnsi="Times New Roman" w:cs="Times New Roman"/>
          <w:sz w:val="24"/>
          <w:szCs w:val="24"/>
        </w:rPr>
        <w:t>: a)</w:t>
      </w:r>
      <w:r w:rsidR="003C3312" w:rsidRPr="00F87467">
        <w:rPr>
          <w:rFonts w:ascii="Times New Roman" w:hAnsi="Times New Roman" w:cs="Times New Roman"/>
          <w:sz w:val="24"/>
          <w:szCs w:val="24"/>
        </w:rPr>
        <w:t xml:space="preserve"> the Member States Notifying Authorities,</w:t>
      </w:r>
      <w:r w:rsidR="00261D10" w:rsidRPr="00F87467">
        <w:rPr>
          <w:rFonts w:ascii="Times New Roman" w:hAnsi="Times New Roman" w:cs="Times New Roman"/>
          <w:sz w:val="24"/>
          <w:szCs w:val="24"/>
        </w:rPr>
        <w:t xml:space="preserve"> b)</w:t>
      </w:r>
      <w:r w:rsidR="003C3312" w:rsidRPr="00F87467">
        <w:rPr>
          <w:rFonts w:ascii="Times New Roman" w:hAnsi="Times New Roman" w:cs="Times New Roman"/>
          <w:sz w:val="24"/>
          <w:szCs w:val="24"/>
        </w:rPr>
        <w:t xml:space="preserve"> the appropriate </w:t>
      </w:r>
      <w:r w:rsidR="00261D10" w:rsidRPr="00F87467">
        <w:rPr>
          <w:rFonts w:ascii="Times New Roman" w:hAnsi="Times New Roman" w:cs="Times New Roman"/>
          <w:sz w:val="24"/>
          <w:szCs w:val="24"/>
        </w:rPr>
        <w:t xml:space="preserve">procedures for the </w:t>
      </w:r>
      <w:r w:rsidR="003C3312" w:rsidRPr="00F87467">
        <w:rPr>
          <w:rFonts w:ascii="Times New Roman" w:hAnsi="Times New Roman" w:cs="Times New Roman"/>
          <w:sz w:val="24"/>
          <w:szCs w:val="24"/>
        </w:rPr>
        <w:t xml:space="preserve">notification </w:t>
      </w:r>
      <w:r w:rsidR="00261D10" w:rsidRPr="00F87467">
        <w:rPr>
          <w:rFonts w:ascii="Times New Roman" w:hAnsi="Times New Roman" w:cs="Times New Roman"/>
          <w:sz w:val="24"/>
          <w:szCs w:val="24"/>
        </w:rPr>
        <w:t xml:space="preserve">of conformity assessment bodies </w:t>
      </w:r>
      <w:r w:rsidR="003C3312" w:rsidRPr="00F87467">
        <w:rPr>
          <w:rFonts w:ascii="Times New Roman" w:hAnsi="Times New Roman" w:cs="Times New Roman"/>
          <w:sz w:val="24"/>
          <w:szCs w:val="24"/>
        </w:rPr>
        <w:t>per Member State</w:t>
      </w:r>
      <w:r w:rsidR="00261D10" w:rsidRPr="00F87467">
        <w:rPr>
          <w:rFonts w:ascii="Times New Roman" w:hAnsi="Times New Roman" w:cs="Times New Roman"/>
          <w:sz w:val="24"/>
          <w:szCs w:val="24"/>
        </w:rPr>
        <w:t>, c) the procedures for the monitoring of notified bodies</w:t>
      </w:r>
      <w:r w:rsidR="0040163C" w:rsidRPr="00F87467">
        <w:rPr>
          <w:rFonts w:ascii="Times New Roman" w:hAnsi="Times New Roman" w:cs="Times New Roman"/>
          <w:sz w:val="24"/>
          <w:szCs w:val="24"/>
        </w:rPr>
        <w:t>,</w:t>
      </w:r>
      <w:r w:rsidR="00261D10" w:rsidRPr="00F87467">
        <w:rPr>
          <w:rFonts w:ascii="Times New Roman" w:hAnsi="Times New Roman" w:cs="Times New Roman"/>
          <w:sz w:val="24"/>
          <w:szCs w:val="24"/>
        </w:rPr>
        <w:t xml:space="preserve"> and eventually </w:t>
      </w:r>
      <w:r w:rsidR="00736D73" w:rsidRPr="00F87467">
        <w:rPr>
          <w:rFonts w:ascii="Times New Roman" w:hAnsi="Times New Roman" w:cs="Times New Roman"/>
          <w:sz w:val="24"/>
          <w:szCs w:val="24"/>
        </w:rPr>
        <w:t xml:space="preserve">d) </w:t>
      </w:r>
      <w:r w:rsidR="00261D10" w:rsidRPr="00F87467">
        <w:rPr>
          <w:rFonts w:ascii="Times New Roman" w:hAnsi="Times New Roman" w:cs="Times New Roman"/>
          <w:sz w:val="24"/>
          <w:szCs w:val="24"/>
        </w:rPr>
        <w:t>a list of Notified Bodies</w:t>
      </w:r>
      <w:r w:rsidR="00354A65" w:rsidRPr="00F87467">
        <w:rPr>
          <w:rFonts w:ascii="Times New Roman" w:hAnsi="Times New Roman" w:cs="Times New Roman"/>
          <w:sz w:val="24"/>
          <w:szCs w:val="24"/>
        </w:rPr>
        <w:t>.</w:t>
      </w:r>
      <w:r w:rsidRPr="00F87467">
        <w:rPr>
          <w:rFonts w:ascii="Times New Roman" w:hAnsi="Times New Roman" w:cs="Times New Roman"/>
          <w:sz w:val="24"/>
          <w:szCs w:val="24"/>
        </w:rPr>
        <w:t xml:space="preserve"> </w:t>
      </w:r>
    </w:p>
    <w:p w14:paraId="33C62CC5" w14:textId="77777777" w:rsidR="000E0CAE" w:rsidRPr="00F87467" w:rsidRDefault="000E0CAE" w:rsidP="00F87467">
      <w:pPr>
        <w:pStyle w:val="ListParagraph"/>
        <w:tabs>
          <w:tab w:val="left" w:pos="426"/>
        </w:tabs>
        <w:spacing w:before="60" w:after="60" w:line="276" w:lineRule="auto"/>
        <w:ind w:left="0"/>
        <w:jc w:val="both"/>
        <w:rPr>
          <w:rFonts w:eastAsiaTheme="minorHAnsi"/>
          <w:szCs w:val="24"/>
          <w:lang w:val="en-GB" w:eastAsia="en-US"/>
        </w:rPr>
      </w:pPr>
    </w:p>
    <w:p w14:paraId="70746890" w14:textId="720D579D" w:rsidR="000E0CAE" w:rsidRPr="00F87467" w:rsidRDefault="00AE2609" w:rsidP="00F87467">
      <w:pPr>
        <w:pStyle w:val="Heading2"/>
        <w:spacing w:before="60" w:after="60" w:line="276" w:lineRule="auto"/>
        <w:rPr>
          <w:rFonts w:eastAsiaTheme="minorHAnsi"/>
        </w:rPr>
      </w:pPr>
      <w:r w:rsidRPr="00F87467">
        <w:rPr>
          <w:rFonts w:eastAsiaTheme="minorHAnsi"/>
        </w:rPr>
        <w:t xml:space="preserve"> </w:t>
      </w:r>
      <w:bookmarkStart w:id="24" w:name="_Toc59185389"/>
      <w:r w:rsidR="000E0CAE" w:rsidRPr="00F87467">
        <w:rPr>
          <w:rFonts w:eastAsiaTheme="minorHAnsi"/>
        </w:rPr>
        <w:t>Does a conformity assessment body have to be able to perform conformity assessment for all types of EU fertilising products in order to become a notified body?</w:t>
      </w:r>
      <w:bookmarkEnd w:id="24"/>
    </w:p>
    <w:p w14:paraId="6D21DD39" w14:textId="3018A3E8" w:rsidR="006D4BC2" w:rsidRPr="00F87467" w:rsidRDefault="006D4BC2"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A conformity assessment body has the possibility to apply </w:t>
      </w:r>
      <w:r w:rsidR="001D2D84" w:rsidRPr="00F87467">
        <w:rPr>
          <w:rFonts w:ascii="Times New Roman" w:hAnsi="Times New Roman" w:cs="Times New Roman"/>
          <w:sz w:val="24"/>
          <w:szCs w:val="24"/>
        </w:rPr>
        <w:t xml:space="preserve">for notification </w:t>
      </w:r>
      <w:r w:rsidRPr="00F87467">
        <w:rPr>
          <w:rFonts w:ascii="Times New Roman" w:hAnsi="Times New Roman" w:cs="Times New Roman"/>
          <w:sz w:val="24"/>
          <w:szCs w:val="24"/>
        </w:rPr>
        <w:t xml:space="preserve">for </w:t>
      </w:r>
      <w:r w:rsidR="001D2D84" w:rsidRPr="00F87467">
        <w:rPr>
          <w:rFonts w:ascii="Times New Roman" w:hAnsi="Times New Roman" w:cs="Times New Roman"/>
          <w:sz w:val="24"/>
          <w:szCs w:val="24"/>
        </w:rPr>
        <w:t xml:space="preserve">certain module or modules, </w:t>
      </w:r>
      <w:r w:rsidR="00A7507B" w:rsidRPr="00F87467">
        <w:rPr>
          <w:rFonts w:ascii="Times New Roman" w:hAnsi="Times New Roman" w:cs="Times New Roman"/>
          <w:sz w:val="24"/>
          <w:szCs w:val="24"/>
        </w:rPr>
        <w:t xml:space="preserve">or </w:t>
      </w:r>
      <w:r w:rsidR="001D2D84" w:rsidRPr="00F87467">
        <w:rPr>
          <w:rFonts w:ascii="Times New Roman" w:hAnsi="Times New Roman" w:cs="Times New Roman"/>
          <w:sz w:val="24"/>
          <w:szCs w:val="24"/>
        </w:rPr>
        <w:t xml:space="preserve">certain EU fertilising products as long as that body complies with the conditions set in Article 24 of </w:t>
      </w:r>
      <w:r w:rsidR="00664262" w:rsidRPr="00F87467">
        <w:rPr>
          <w:rFonts w:ascii="Times New Roman" w:hAnsi="Times New Roman" w:cs="Times New Roman"/>
          <w:sz w:val="24"/>
          <w:szCs w:val="24"/>
        </w:rPr>
        <w:t xml:space="preserve">the </w:t>
      </w:r>
      <w:hyperlink r:id="rId60" w:history="1">
        <w:r w:rsidR="001D2D84" w:rsidRPr="00D53265">
          <w:rPr>
            <w:rStyle w:val="Hyperlink"/>
            <w:rFonts w:ascii="Times New Roman" w:hAnsi="Times New Roman" w:cs="Times New Roman"/>
            <w:sz w:val="24"/>
            <w:szCs w:val="24"/>
          </w:rPr>
          <w:t>FPR</w:t>
        </w:r>
      </w:hyperlink>
      <w:r w:rsidR="001D2D84" w:rsidRPr="00F87467">
        <w:rPr>
          <w:rFonts w:ascii="Times New Roman" w:hAnsi="Times New Roman" w:cs="Times New Roman"/>
          <w:sz w:val="24"/>
          <w:szCs w:val="24"/>
        </w:rPr>
        <w:t>.</w:t>
      </w:r>
      <w:r w:rsidR="0052480F" w:rsidRPr="00F87467">
        <w:rPr>
          <w:rFonts w:ascii="Times New Roman" w:hAnsi="Times New Roman" w:cs="Times New Roman"/>
          <w:sz w:val="24"/>
          <w:szCs w:val="24"/>
        </w:rPr>
        <w:t xml:space="preserve"> </w:t>
      </w:r>
    </w:p>
    <w:p w14:paraId="2C60E23A" w14:textId="18F592F0" w:rsidR="008E3F27" w:rsidRPr="00F87467" w:rsidRDefault="008E3F27" w:rsidP="00F87467">
      <w:pPr>
        <w:spacing w:before="60" w:after="60"/>
        <w:jc w:val="both"/>
        <w:rPr>
          <w:rFonts w:ascii="Times New Roman" w:hAnsi="Times New Roman" w:cs="Times New Roman"/>
          <w:sz w:val="24"/>
          <w:szCs w:val="24"/>
        </w:rPr>
      </w:pPr>
    </w:p>
    <w:p w14:paraId="46ED50F7" w14:textId="3BBFC8FA" w:rsidR="00DD7E9D" w:rsidRPr="00F87467" w:rsidRDefault="00DD7E9D" w:rsidP="00F87467">
      <w:pPr>
        <w:pStyle w:val="Heading2"/>
        <w:spacing w:before="60" w:after="60" w:line="276" w:lineRule="auto"/>
      </w:pPr>
      <w:bookmarkStart w:id="25" w:name="_Toc59185390"/>
      <w:r w:rsidRPr="00F87467">
        <w:t>How</w:t>
      </w:r>
      <w:r w:rsidR="00680395" w:rsidRPr="00F87467">
        <w:t xml:space="preserve"> is </w:t>
      </w:r>
      <w:r w:rsidRPr="00F87467">
        <w:t xml:space="preserve">the Commission planning to ensure the coordination and cooperation between notified bodied </w:t>
      </w:r>
      <w:r w:rsidR="00C45333" w:rsidRPr="00F87467">
        <w:t xml:space="preserve">for the purposes of </w:t>
      </w:r>
      <w:r w:rsidR="00450F3E" w:rsidRPr="00F87467">
        <w:t xml:space="preserve">the </w:t>
      </w:r>
      <w:r w:rsidRPr="00F87467">
        <w:t>FPR?</w:t>
      </w:r>
      <w:bookmarkEnd w:id="25"/>
    </w:p>
    <w:p w14:paraId="10B989E9" w14:textId="41B9FFA2" w:rsidR="00680395" w:rsidRPr="00F87467" w:rsidRDefault="00450F3E" w:rsidP="00F87467">
      <w:pPr>
        <w:spacing w:before="60" w:after="60"/>
        <w:jc w:val="both"/>
        <w:rPr>
          <w:rFonts w:ascii="Times New Roman" w:hAnsi="Times New Roman" w:cs="Times New Roman"/>
          <w:sz w:val="24"/>
          <w:szCs w:val="24"/>
        </w:rPr>
      </w:pPr>
      <w:r w:rsidRPr="00F87467">
        <w:rPr>
          <w:rFonts w:ascii="Times New Roman" w:hAnsi="Times New Roman" w:cs="Times New Roman"/>
          <w:sz w:val="24"/>
          <w:szCs w:val="24"/>
        </w:rPr>
        <w:t>T</w:t>
      </w:r>
      <w:r w:rsidR="00680395" w:rsidRPr="00F87467">
        <w:rPr>
          <w:rFonts w:ascii="Times New Roman" w:hAnsi="Times New Roman" w:cs="Times New Roman"/>
          <w:sz w:val="24"/>
          <w:szCs w:val="24"/>
        </w:rPr>
        <w:t xml:space="preserve">he </w:t>
      </w:r>
      <w:r w:rsidR="00D833BA" w:rsidRPr="00F87467">
        <w:rPr>
          <w:rFonts w:ascii="Times New Roman" w:hAnsi="Times New Roman" w:cs="Times New Roman"/>
          <w:sz w:val="24"/>
          <w:szCs w:val="24"/>
        </w:rPr>
        <w:t>Commission</w:t>
      </w:r>
      <w:r w:rsidR="00680395" w:rsidRPr="00F87467">
        <w:rPr>
          <w:rFonts w:ascii="Times New Roman" w:hAnsi="Times New Roman" w:cs="Times New Roman"/>
          <w:sz w:val="24"/>
          <w:szCs w:val="24"/>
        </w:rPr>
        <w:t xml:space="preserve"> will ensure that coordination </w:t>
      </w:r>
      <w:r w:rsidRPr="00F87467">
        <w:rPr>
          <w:rFonts w:ascii="Times New Roman" w:hAnsi="Times New Roman" w:cs="Times New Roman"/>
          <w:sz w:val="24"/>
          <w:szCs w:val="24"/>
        </w:rPr>
        <w:t xml:space="preserve">and cooperation </w:t>
      </w:r>
      <w:r w:rsidR="00680395" w:rsidRPr="00F87467">
        <w:rPr>
          <w:rFonts w:ascii="Times New Roman" w:hAnsi="Times New Roman" w:cs="Times New Roman"/>
          <w:sz w:val="24"/>
          <w:szCs w:val="24"/>
        </w:rPr>
        <w:t>between notified bodies</w:t>
      </w:r>
      <w:r w:rsidRPr="00F87467">
        <w:rPr>
          <w:rFonts w:ascii="Times New Roman" w:hAnsi="Times New Roman" w:cs="Times New Roman"/>
          <w:sz w:val="24"/>
          <w:szCs w:val="24"/>
        </w:rPr>
        <w:t xml:space="preserve"> are organised in the form of a sectoral group of notified bodies.</w:t>
      </w:r>
      <w:r w:rsidR="00680395" w:rsidRPr="00F87467">
        <w:rPr>
          <w:rFonts w:ascii="Times New Roman" w:hAnsi="Times New Roman" w:cs="Times New Roman"/>
          <w:sz w:val="24"/>
          <w:szCs w:val="24"/>
        </w:rPr>
        <w:t xml:space="preserve"> </w:t>
      </w:r>
      <w:r w:rsidRPr="00F87467">
        <w:rPr>
          <w:rFonts w:ascii="Times New Roman" w:hAnsi="Times New Roman" w:cs="Times New Roman"/>
          <w:sz w:val="24"/>
          <w:szCs w:val="24"/>
        </w:rPr>
        <w:t>This</w:t>
      </w:r>
      <w:r w:rsidR="00680395" w:rsidRPr="00F87467">
        <w:rPr>
          <w:rFonts w:ascii="Times New Roman" w:hAnsi="Times New Roman" w:cs="Times New Roman"/>
          <w:sz w:val="24"/>
          <w:szCs w:val="24"/>
        </w:rPr>
        <w:t xml:space="preserve"> group will deal with technical problems relating to conformity assessment in order to ensure a uniform application of the technical provisions of</w:t>
      </w:r>
      <w:r w:rsidRPr="00F87467">
        <w:rPr>
          <w:rFonts w:ascii="Times New Roman" w:hAnsi="Times New Roman" w:cs="Times New Roman"/>
          <w:sz w:val="24"/>
          <w:szCs w:val="24"/>
        </w:rPr>
        <w:t xml:space="preserve"> the</w:t>
      </w:r>
      <w:r w:rsidR="00680395" w:rsidRPr="00F87467">
        <w:rPr>
          <w:rFonts w:ascii="Times New Roman" w:hAnsi="Times New Roman" w:cs="Times New Roman"/>
          <w:sz w:val="24"/>
          <w:szCs w:val="24"/>
        </w:rPr>
        <w:t xml:space="preserve"> </w:t>
      </w:r>
      <w:hyperlink r:id="rId61" w:history="1">
        <w:r w:rsidR="00680395" w:rsidRPr="00D53265">
          <w:rPr>
            <w:rStyle w:val="Hyperlink"/>
            <w:rFonts w:ascii="Times New Roman" w:hAnsi="Times New Roman" w:cs="Times New Roman"/>
            <w:sz w:val="24"/>
            <w:szCs w:val="24"/>
          </w:rPr>
          <w:t>FPR</w:t>
        </w:r>
      </w:hyperlink>
      <w:r w:rsidR="00680395" w:rsidRPr="00F87467">
        <w:rPr>
          <w:rFonts w:ascii="Times New Roman" w:hAnsi="Times New Roman" w:cs="Times New Roman"/>
          <w:sz w:val="24"/>
          <w:szCs w:val="24"/>
        </w:rPr>
        <w:t xml:space="preserve">. </w:t>
      </w:r>
    </w:p>
    <w:p w14:paraId="403F5B28" w14:textId="0DB32255" w:rsidR="0051574A" w:rsidRPr="00F87467" w:rsidRDefault="00450F3E" w:rsidP="00F87467">
      <w:pPr>
        <w:spacing w:before="60" w:after="60"/>
        <w:jc w:val="both"/>
        <w:rPr>
          <w:rFonts w:ascii="Times New Roman" w:hAnsi="Times New Roman" w:cs="Times New Roman"/>
          <w:sz w:val="24"/>
          <w:szCs w:val="24"/>
        </w:rPr>
      </w:pPr>
      <w:r w:rsidRPr="00F87467">
        <w:rPr>
          <w:rFonts w:ascii="Times New Roman" w:hAnsi="Times New Roman" w:cs="Times New Roman"/>
          <w:sz w:val="24"/>
          <w:szCs w:val="24"/>
        </w:rPr>
        <w:t>The</w:t>
      </w:r>
      <w:r w:rsidR="00680395" w:rsidRPr="00F87467">
        <w:rPr>
          <w:rFonts w:ascii="Times New Roman" w:hAnsi="Times New Roman" w:cs="Times New Roman"/>
          <w:sz w:val="24"/>
          <w:szCs w:val="24"/>
        </w:rPr>
        <w:t xml:space="preserve"> group will be established </w:t>
      </w:r>
      <w:r w:rsidR="0007715A" w:rsidRPr="00F87467">
        <w:rPr>
          <w:rFonts w:ascii="Times New Roman" w:hAnsi="Times New Roman" w:cs="Times New Roman"/>
          <w:sz w:val="24"/>
          <w:szCs w:val="24"/>
        </w:rPr>
        <w:t>without undue delay</w:t>
      </w:r>
      <w:r w:rsidR="00680395" w:rsidRPr="00F87467">
        <w:rPr>
          <w:rFonts w:ascii="Times New Roman" w:hAnsi="Times New Roman" w:cs="Times New Roman"/>
          <w:sz w:val="24"/>
          <w:szCs w:val="24"/>
        </w:rPr>
        <w:t xml:space="preserve"> after the </w:t>
      </w:r>
      <w:r w:rsidR="00D833BA" w:rsidRPr="00F87467">
        <w:rPr>
          <w:rFonts w:ascii="Times New Roman" w:hAnsi="Times New Roman" w:cs="Times New Roman"/>
          <w:sz w:val="24"/>
          <w:szCs w:val="24"/>
        </w:rPr>
        <w:t>Commission</w:t>
      </w:r>
      <w:r w:rsidR="00680395" w:rsidRPr="00F87467">
        <w:rPr>
          <w:rFonts w:ascii="Times New Roman" w:hAnsi="Times New Roman" w:cs="Times New Roman"/>
          <w:sz w:val="24"/>
          <w:szCs w:val="24"/>
        </w:rPr>
        <w:t xml:space="preserve"> receives the first notifications by the notifying authorities. All </w:t>
      </w:r>
      <w:r w:rsidR="000F7ECD" w:rsidRPr="00F87467">
        <w:rPr>
          <w:rFonts w:ascii="Times New Roman" w:hAnsi="Times New Roman" w:cs="Times New Roman"/>
          <w:sz w:val="24"/>
          <w:szCs w:val="24"/>
        </w:rPr>
        <w:t xml:space="preserve">the </w:t>
      </w:r>
      <w:r w:rsidR="00680395" w:rsidRPr="00F87467">
        <w:rPr>
          <w:rFonts w:ascii="Times New Roman" w:hAnsi="Times New Roman" w:cs="Times New Roman"/>
          <w:sz w:val="24"/>
          <w:szCs w:val="24"/>
        </w:rPr>
        <w:t xml:space="preserve">notified bodies will participate in </w:t>
      </w:r>
      <w:r w:rsidR="000F7ECD" w:rsidRPr="00F87467">
        <w:rPr>
          <w:rFonts w:ascii="Times New Roman" w:hAnsi="Times New Roman" w:cs="Times New Roman"/>
          <w:sz w:val="24"/>
          <w:szCs w:val="24"/>
        </w:rPr>
        <w:t>the work of the</w:t>
      </w:r>
      <w:r w:rsidR="00814841">
        <w:rPr>
          <w:rFonts w:ascii="Times New Roman" w:hAnsi="Times New Roman" w:cs="Times New Roman"/>
          <w:sz w:val="24"/>
          <w:szCs w:val="24"/>
        </w:rPr>
        <w:t xml:space="preserve"> group</w:t>
      </w:r>
      <w:r w:rsidR="000F7ECD" w:rsidRPr="00F87467">
        <w:rPr>
          <w:rFonts w:ascii="Times New Roman" w:hAnsi="Times New Roman" w:cs="Times New Roman"/>
          <w:sz w:val="24"/>
          <w:szCs w:val="24"/>
        </w:rPr>
        <w:t xml:space="preserve"> directly or by designated representatives. The group </w:t>
      </w:r>
      <w:r w:rsidR="00680395" w:rsidRPr="00F87467">
        <w:rPr>
          <w:rFonts w:ascii="Times New Roman" w:hAnsi="Times New Roman" w:cs="Times New Roman"/>
          <w:sz w:val="24"/>
          <w:szCs w:val="24"/>
        </w:rPr>
        <w:t xml:space="preserve">will be free to define </w:t>
      </w:r>
      <w:r w:rsidR="000F7ECD" w:rsidRPr="00F87467">
        <w:rPr>
          <w:rFonts w:ascii="Times New Roman" w:hAnsi="Times New Roman" w:cs="Times New Roman"/>
          <w:sz w:val="24"/>
          <w:szCs w:val="24"/>
        </w:rPr>
        <w:t xml:space="preserve">its </w:t>
      </w:r>
      <w:r w:rsidR="00680395" w:rsidRPr="00F87467">
        <w:rPr>
          <w:rFonts w:ascii="Times New Roman" w:hAnsi="Times New Roman" w:cs="Times New Roman"/>
          <w:sz w:val="24"/>
          <w:szCs w:val="24"/>
        </w:rPr>
        <w:t xml:space="preserve">rules of </w:t>
      </w:r>
      <w:r w:rsidR="000F7ECD" w:rsidRPr="00F87467">
        <w:rPr>
          <w:rFonts w:ascii="Times New Roman" w:hAnsi="Times New Roman" w:cs="Times New Roman"/>
          <w:sz w:val="24"/>
          <w:szCs w:val="24"/>
        </w:rPr>
        <w:t>procedure</w:t>
      </w:r>
      <w:r w:rsidR="00680395" w:rsidRPr="00F87467">
        <w:rPr>
          <w:rFonts w:ascii="Times New Roman" w:hAnsi="Times New Roman" w:cs="Times New Roman"/>
          <w:sz w:val="24"/>
          <w:szCs w:val="24"/>
        </w:rPr>
        <w:t>.</w:t>
      </w:r>
    </w:p>
    <w:p w14:paraId="0E793F4E" w14:textId="77777777" w:rsidR="00F964B3" w:rsidRPr="00F87467" w:rsidRDefault="00F964B3" w:rsidP="00F87467">
      <w:pPr>
        <w:spacing w:before="60" w:after="60"/>
        <w:jc w:val="both"/>
        <w:rPr>
          <w:rFonts w:ascii="Times New Roman" w:hAnsi="Times New Roman" w:cs="Times New Roman"/>
          <w:sz w:val="24"/>
          <w:szCs w:val="24"/>
        </w:rPr>
      </w:pPr>
      <w:bookmarkStart w:id="26" w:name="_Toc54188522"/>
      <w:bookmarkStart w:id="27" w:name="_Toc54555243"/>
      <w:bookmarkEnd w:id="26"/>
      <w:bookmarkEnd w:id="27"/>
    </w:p>
    <w:p w14:paraId="243F3899" w14:textId="467EEBE8" w:rsidR="004F3116" w:rsidRPr="00F87467" w:rsidRDefault="0052480F" w:rsidP="00E717A1">
      <w:pPr>
        <w:pStyle w:val="Heading1"/>
        <w:numPr>
          <w:ilvl w:val="0"/>
          <w:numId w:val="3"/>
        </w:numPr>
        <w:tabs>
          <w:tab w:val="left" w:pos="426"/>
        </w:tabs>
        <w:spacing w:before="60" w:after="60"/>
        <w:ind w:left="0" w:firstLine="0"/>
        <w:jc w:val="both"/>
        <w:rPr>
          <w:rFonts w:ascii="Times New Roman" w:hAnsi="Times New Roman" w:cs="Times New Roman"/>
          <w:sz w:val="24"/>
          <w:szCs w:val="24"/>
        </w:rPr>
      </w:pPr>
      <w:bookmarkStart w:id="28" w:name="_Toc59185391"/>
      <w:r w:rsidRPr="00F87467">
        <w:rPr>
          <w:rFonts w:ascii="Times New Roman" w:hAnsi="Times New Roman" w:cs="Times New Roman"/>
          <w:sz w:val="24"/>
          <w:szCs w:val="24"/>
        </w:rPr>
        <w:t>Transitional period</w:t>
      </w:r>
      <w:bookmarkEnd w:id="28"/>
      <w:r w:rsidRPr="00F87467">
        <w:rPr>
          <w:rFonts w:ascii="Times New Roman" w:hAnsi="Times New Roman" w:cs="Times New Roman"/>
          <w:sz w:val="24"/>
          <w:szCs w:val="24"/>
        </w:rPr>
        <w:t xml:space="preserve"> </w:t>
      </w:r>
    </w:p>
    <w:p w14:paraId="3A96F620" w14:textId="0B5792CE" w:rsidR="0052480F" w:rsidRPr="00F87467" w:rsidRDefault="009549C4" w:rsidP="00F87467">
      <w:pPr>
        <w:pStyle w:val="Heading2"/>
        <w:spacing w:before="60" w:after="60" w:line="276" w:lineRule="auto"/>
        <w:rPr>
          <w:rFonts w:eastAsiaTheme="minorHAnsi"/>
        </w:rPr>
      </w:pPr>
      <w:r w:rsidRPr="00F87467">
        <w:rPr>
          <w:rFonts w:eastAsiaTheme="minorHAnsi"/>
        </w:rPr>
        <w:t xml:space="preserve"> </w:t>
      </w:r>
      <w:bookmarkStart w:id="29" w:name="_Toc59185392"/>
      <w:r w:rsidR="0052480F" w:rsidRPr="00F87467">
        <w:rPr>
          <w:rFonts w:eastAsiaTheme="minorHAnsi"/>
        </w:rPr>
        <w:t xml:space="preserve">When will the </w:t>
      </w:r>
      <w:r w:rsidR="003A75B7" w:rsidRPr="00F87467">
        <w:rPr>
          <w:rFonts w:eastAsiaTheme="minorHAnsi"/>
        </w:rPr>
        <w:t>FPR</w:t>
      </w:r>
      <w:r w:rsidR="0052480F" w:rsidRPr="00F87467">
        <w:rPr>
          <w:rFonts w:eastAsiaTheme="minorHAnsi"/>
        </w:rPr>
        <w:t xml:space="preserve"> start to apply?</w:t>
      </w:r>
      <w:bookmarkEnd w:id="29"/>
    </w:p>
    <w:p w14:paraId="4EB3F8CE" w14:textId="024591C5" w:rsidR="00482EF2" w:rsidRPr="00F87467" w:rsidRDefault="00B72DF3"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The </w:t>
      </w:r>
      <w:hyperlink r:id="rId62"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will </w:t>
      </w:r>
      <w:r w:rsidR="00482EF2" w:rsidRPr="00F87467">
        <w:rPr>
          <w:rFonts w:ascii="Times New Roman" w:hAnsi="Times New Roman" w:cs="Times New Roman"/>
          <w:sz w:val="24"/>
          <w:szCs w:val="24"/>
        </w:rPr>
        <w:t xml:space="preserve">fully </w:t>
      </w:r>
      <w:r w:rsidRPr="00F87467">
        <w:rPr>
          <w:rFonts w:ascii="Times New Roman" w:hAnsi="Times New Roman" w:cs="Times New Roman"/>
          <w:sz w:val="24"/>
          <w:szCs w:val="24"/>
        </w:rPr>
        <w:t xml:space="preserve">apply from 16 July 2022. </w:t>
      </w:r>
    </w:p>
    <w:p w14:paraId="7203702B" w14:textId="4CDA6A8C" w:rsidR="00B72DF3" w:rsidRPr="00F87467" w:rsidRDefault="00482EF2"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A </w:t>
      </w:r>
      <w:r w:rsidR="00B72DF3" w:rsidRPr="00F87467">
        <w:rPr>
          <w:rFonts w:ascii="Times New Roman" w:hAnsi="Times New Roman" w:cs="Times New Roman"/>
          <w:sz w:val="24"/>
          <w:szCs w:val="24"/>
        </w:rPr>
        <w:t>number of provisions</w:t>
      </w:r>
      <w:r w:rsidRPr="00F87467">
        <w:rPr>
          <w:rFonts w:ascii="Times New Roman" w:hAnsi="Times New Roman" w:cs="Times New Roman"/>
          <w:sz w:val="24"/>
          <w:szCs w:val="24"/>
        </w:rPr>
        <w:t xml:space="preserve"> Apply earlier as follows:</w:t>
      </w:r>
    </w:p>
    <w:p w14:paraId="1071B315" w14:textId="469A71FA" w:rsidR="00B72DF3" w:rsidRPr="00F87467" w:rsidRDefault="00B72DF3" w:rsidP="00E717A1">
      <w:pPr>
        <w:pStyle w:val="ListParagraph"/>
        <w:numPr>
          <w:ilvl w:val="0"/>
          <w:numId w:val="9"/>
        </w:numPr>
        <w:tabs>
          <w:tab w:val="left" w:pos="426"/>
        </w:tabs>
        <w:spacing w:before="60" w:after="60" w:line="276" w:lineRule="auto"/>
        <w:jc w:val="both"/>
        <w:rPr>
          <w:szCs w:val="24"/>
          <w:lang w:val="en-GB"/>
        </w:rPr>
      </w:pPr>
      <w:r w:rsidRPr="00F87467">
        <w:rPr>
          <w:szCs w:val="24"/>
          <w:lang w:val="en-GB"/>
        </w:rPr>
        <w:t xml:space="preserve">as of 15 July 2019: specific provisions related to: </w:t>
      </w:r>
    </w:p>
    <w:p w14:paraId="68ACC69A" w14:textId="49C1C316" w:rsidR="00482EF2" w:rsidRPr="00F87467" w:rsidRDefault="00B72DF3" w:rsidP="00E717A1">
      <w:pPr>
        <w:pStyle w:val="ListParagraph"/>
        <w:numPr>
          <w:ilvl w:val="1"/>
          <w:numId w:val="9"/>
        </w:numPr>
        <w:tabs>
          <w:tab w:val="left" w:pos="426"/>
        </w:tabs>
        <w:spacing w:before="60" w:after="60" w:line="276" w:lineRule="auto"/>
        <w:jc w:val="both"/>
        <w:rPr>
          <w:szCs w:val="24"/>
          <w:lang w:val="en-GB"/>
        </w:rPr>
      </w:pPr>
      <w:r w:rsidRPr="00F87467">
        <w:rPr>
          <w:szCs w:val="24"/>
          <w:lang w:val="en-GB"/>
        </w:rPr>
        <w:t xml:space="preserve">the publication </w:t>
      </w:r>
      <w:r w:rsidR="00482EF2" w:rsidRPr="00F87467">
        <w:rPr>
          <w:szCs w:val="24"/>
          <w:lang w:val="en-GB"/>
        </w:rPr>
        <w:t xml:space="preserve">by the Commission </w:t>
      </w:r>
      <w:r w:rsidRPr="00F87467">
        <w:rPr>
          <w:szCs w:val="24"/>
          <w:lang w:val="en-GB"/>
        </w:rPr>
        <w:t xml:space="preserve">of guidance document on labels </w:t>
      </w:r>
    </w:p>
    <w:p w14:paraId="31C6999D" w14:textId="29660A2C" w:rsidR="00482EF2" w:rsidRPr="00F87467" w:rsidRDefault="00B72DF3" w:rsidP="00E717A1">
      <w:pPr>
        <w:pStyle w:val="ListParagraph"/>
        <w:numPr>
          <w:ilvl w:val="1"/>
          <w:numId w:val="9"/>
        </w:numPr>
        <w:tabs>
          <w:tab w:val="left" w:pos="426"/>
        </w:tabs>
        <w:spacing w:before="60" w:after="60" w:line="276" w:lineRule="auto"/>
        <w:jc w:val="both"/>
        <w:rPr>
          <w:szCs w:val="24"/>
          <w:lang w:val="en-GB"/>
        </w:rPr>
      </w:pPr>
      <w:r w:rsidRPr="00F87467">
        <w:rPr>
          <w:szCs w:val="24"/>
          <w:lang w:val="en-GB"/>
        </w:rPr>
        <w:t xml:space="preserve">the </w:t>
      </w:r>
      <w:r w:rsidR="00482EF2" w:rsidRPr="00F87467">
        <w:rPr>
          <w:szCs w:val="24"/>
          <w:lang w:val="en-GB"/>
        </w:rPr>
        <w:t xml:space="preserve">empowerment of the Commission to </w:t>
      </w:r>
      <w:r w:rsidRPr="00F87467">
        <w:rPr>
          <w:szCs w:val="24"/>
          <w:lang w:val="en-GB"/>
        </w:rPr>
        <w:t>adopt</w:t>
      </w:r>
      <w:r w:rsidR="00482EF2" w:rsidRPr="00F87467">
        <w:rPr>
          <w:szCs w:val="24"/>
          <w:lang w:val="en-GB"/>
        </w:rPr>
        <w:t xml:space="preserve"> various implementing or delegating acts</w:t>
      </w:r>
    </w:p>
    <w:p w14:paraId="4C8B347E" w14:textId="233E0044" w:rsidR="00482EF2" w:rsidRPr="00F87467" w:rsidRDefault="00B72DF3" w:rsidP="00E717A1">
      <w:pPr>
        <w:pStyle w:val="ListParagraph"/>
        <w:numPr>
          <w:ilvl w:val="1"/>
          <w:numId w:val="9"/>
        </w:numPr>
        <w:tabs>
          <w:tab w:val="left" w:pos="426"/>
        </w:tabs>
        <w:spacing w:before="60" w:after="60" w:line="276" w:lineRule="auto"/>
        <w:jc w:val="both"/>
        <w:rPr>
          <w:szCs w:val="24"/>
          <w:lang w:val="en-GB"/>
        </w:rPr>
      </w:pPr>
      <w:r w:rsidRPr="00F87467">
        <w:rPr>
          <w:szCs w:val="24"/>
          <w:lang w:val="en-GB"/>
        </w:rPr>
        <w:t xml:space="preserve">the amendments to the </w:t>
      </w:r>
      <w:hyperlink r:id="rId63" w:history="1">
        <w:r w:rsidRPr="00D53265">
          <w:rPr>
            <w:rStyle w:val="Hyperlink"/>
            <w:szCs w:val="24"/>
            <w:lang w:val="en-GB"/>
          </w:rPr>
          <w:t xml:space="preserve">Animal By-Products </w:t>
        </w:r>
        <w:r w:rsidR="00482EF2" w:rsidRPr="00D53265">
          <w:rPr>
            <w:rStyle w:val="Hyperlink"/>
            <w:szCs w:val="24"/>
            <w:lang w:val="en-GB"/>
          </w:rPr>
          <w:t>R</w:t>
        </w:r>
        <w:r w:rsidRPr="00D53265">
          <w:rPr>
            <w:rStyle w:val="Hyperlink"/>
            <w:szCs w:val="24"/>
            <w:lang w:val="en-GB"/>
          </w:rPr>
          <w:t>egulation</w:t>
        </w:r>
      </w:hyperlink>
      <w:r w:rsidRPr="00F87467">
        <w:rPr>
          <w:szCs w:val="24"/>
          <w:lang w:val="en-GB"/>
        </w:rPr>
        <w:t xml:space="preserve"> (Regulation 1069/2009) and the Plant Protection Product </w:t>
      </w:r>
      <w:r w:rsidR="00482EF2" w:rsidRPr="00F87467">
        <w:rPr>
          <w:szCs w:val="24"/>
          <w:lang w:val="en-GB"/>
        </w:rPr>
        <w:t>R</w:t>
      </w:r>
      <w:r w:rsidRPr="00F87467">
        <w:rPr>
          <w:szCs w:val="24"/>
          <w:lang w:val="en-GB"/>
        </w:rPr>
        <w:t>egulation (Regulation 1107/2009)</w:t>
      </w:r>
    </w:p>
    <w:p w14:paraId="475D4A21" w14:textId="526544AC" w:rsidR="0052480F" w:rsidRPr="00F87467" w:rsidRDefault="00D833BA" w:rsidP="00E717A1">
      <w:pPr>
        <w:pStyle w:val="ListParagraph"/>
        <w:numPr>
          <w:ilvl w:val="0"/>
          <w:numId w:val="9"/>
        </w:numPr>
        <w:tabs>
          <w:tab w:val="left" w:pos="426"/>
        </w:tabs>
        <w:spacing w:before="60" w:after="60" w:line="276" w:lineRule="auto"/>
        <w:jc w:val="both"/>
        <w:rPr>
          <w:szCs w:val="24"/>
          <w:lang w:val="en-GB"/>
        </w:rPr>
      </w:pPr>
      <w:r w:rsidRPr="00F87467">
        <w:rPr>
          <w:szCs w:val="24"/>
          <w:lang w:val="en-GB"/>
        </w:rPr>
        <w:t>as</w:t>
      </w:r>
      <w:r w:rsidR="00B72DF3" w:rsidRPr="00F87467">
        <w:rPr>
          <w:szCs w:val="24"/>
          <w:lang w:val="en-GB"/>
        </w:rPr>
        <w:t xml:space="preserve"> of 16</w:t>
      </w:r>
      <w:r w:rsidR="00493DAD" w:rsidRPr="00F87467">
        <w:rPr>
          <w:szCs w:val="24"/>
          <w:lang w:val="en-GB"/>
        </w:rPr>
        <w:t xml:space="preserve"> April</w:t>
      </w:r>
      <w:r w:rsidR="00B72DF3" w:rsidRPr="00F87467">
        <w:rPr>
          <w:szCs w:val="24"/>
          <w:lang w:val="en-GB"/>
        </w:rPr>
        <w:t xml:space="preserve"> 2020: all provisions related to the notification of conformity assessment bodies.  </w:t>
      </w:r>
    </w:p>
    <w:p w14:paraId="7AB626F8" w14:textId="78300E19" w:rsidR="00BA087B" w:rsidRDefault="00482EF2"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For more details, see Article 53 of the </w:t>
      </w:r>
      <w:hyperlink r:id="rId64"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w:t>
      </w:r>
    </w:p>
    <w:p w14:paraId="2062524F" w14:textId="77777777" w:rsidR="00814841" w:rsidRPr="00F87467" w:rsidRDefault="00814841" w:rsidP="00F87467">
      <w:pPr>
        <w:tabs>
          <w:tab w:val="left" w:pos="426"/>
        </w:tabs>
        <w:spacing w:before="60" w:after="60"/>
        <w:jc w:val="both"/>
        <w:rPr>
          <w:rFonts w:ascii="Times New Roman" w:hAnsi="Times New Roman" w:cs="Times New Roman"/>
          <w:sz w:val="24"/>
          <w:szCs w:val="24"/>
        </w:rPr>
      </w:pPr>
    </w:p>
    <w:p w14:paraId="292E2748" w14:textId="77777777" w:rsidR="00DF1E77" w:rsidRPr="00F87467" w:rsidRDefault="00DF1E77" w:rsidP="00F87467">
      <w:pPr>
        <w:pStyle w:val="Heading2"/>
        <w:spacing w:before="60" w:after="60" w:line="276" w:lineRule="auto"/>
        <w:rPr>
          <w:rFonts w:eastAsiaTheme="minorHAnsi"/>
        </w:rPr>
      </w:pPr>
      <w:bookmarkStart w:id="30" w:name="_Toc54188526"/>
      <w:bookmarkStart w:id="31" w:name="_Toc54555247"/>
      <w:bookmarkStart w:id="32" w:name="_Toc59185393"/>
      <w:bookmarkEnd w:id="30"/>
      <w:bookmarkEnd w:id="31"/>
      <w:r w:rsidRPr="00F87467">
        <w:rPr>
          <w:rFonts w:eastAsiaTheme="minorHAnsi"/>
        </w:rPr>
        <w:t>After 16 July 2022, is an economic operator allowed to make available on the market products designated “EC Fertilisers” under the current rules?</w:t>
      </w:r>
      <w:bookmarkEnd w:id="32"/>
    </w:p>
    <w:p w14:paraId="6AA5D06B" w14:textId="77777777" w:rsidR="00DF1E77" w:rsidRPr="00F87467" w:rsidRDefault="00DF1E77"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It depends.</w:t>
      </w:r>
    </w:p>
    <w:p w14:paraId="76397BD9" w14:textId="6DB624E1" w:rsidR="00DF1E77" w:rsidRPr="00F87467" w:rsidRDefault="001E0C66"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After 16 July 2022, </w:t>
      </w:r>
      <w:r w:rsidR="00DF1E77" w:rsidRPr="00F87467">
        <w:rPr>
          <w:rFonts w:ascii="Times New Roman" w:hAnsi="Times New Roman" w:cs="Times New Roman"/>
          <w:sz w:val="24"/>
          <w:szCs w:val="24"/>
        </w:rPr>
        <w:t xml:space="preserve">EC fertilisers can still be made available on the market if they </w:t>
      </w:r>
      <w:r w:rsidR="00CF09D6">
        <w:rPr>
          <w:rFonts w:ascii="Times New Roman" w:hAnsi="Times New Roman" w:cs="Times New Roman"/>
          <w:sz w:val="24"/>
          <w:szCs w:val="24"/>
        </w:rPr>
        <w:t>‘</w:t>
      </w:r>
      <w:r w:rsidR="00DF1E77" w:rsidRPr="00F87467">
        <w:rPr>
          <w:rFonts w:ascii="Times New Roman" w:hAnsi="Times New Roman" w:cs="Times New Roman"/>
          <w:sz w:val="24"/>
          <w:szCs w:val="24"/>
        </w:rPr>
        <w:t>were placed on the market in conformity with Regulation (EC) No 2003/2003</w:t>
      </w:r>
      <w:r w:rsidRPr="00F87467">
        <w:rPr>
          <w:rFonts w:ascii="Times New Roman" w:hAnsi="Times New Roman" w:cs="Times New Roman"/>
          <w:sz w:val="24"/>
          <w:szCs w:val="24"/>
        </w:rPr>
        <w:t>’</w:t>
      </w:r>
      <w:r w:rsidR="00DF1E77" w:rsidRPr="00F87467">
        <w:rPr>
          <w:rFonts w:ascii="Times New Roman" w:hAnsi="Times New Roman" w:cs="Times New Roman"/>
          <w:sz w:val="24"/>
          <w:szCs w:val="24"/>
        </w:rPr>
        <w:t xml:space="preserve"> before </w:t>
      </w:r>
      <w:r w:rsidRPr="00F87467">
        <w:rPr>
          <w:rFonts w:ascii="Times New Roman" w:hAnsi="Times New Roman" w:cs="Times New Roman"/>
          <w:sz w:val="24"/>
          <w:szCs w:val="24"/>
        </w:rPr>
        <w:t>that date</w:t>
      </w:r>
      <w:r w:rsidR="00DF1E77" w:rsidRPr="00F87467">
        <w:rPr>
          <w:rFonts w:ascii="Times New Roman" w:hAnsi="Times New Roman" w:cs="Times New Roman"/>
          <w:sz w:val="24"/>
          <w:szCs w:val="24"/>
        </w:rPr>
        <w:t xml:space="preserve">. </w:t>
      </w:r>
    </w:p>
    <w:p w14:paraId="16513204" w14:textId="05C59C21" w:rsidR="00DF1E77" w:rsidRPr="00F87467" w:rsidRDefault="001E0C66"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This</w:t>
      </w:r>
      <w:r w:rsidR="00DF1E77" w:rsidRPr="00F87467">
        <w:rPr>
          <w:rFonts w:ascii="Times New Roman" w:hAnsi="Times New Roman" w:cs="Times New Roman"/>
          <w:sz w:val="24"/>
          <w:szCs w:val="24"/>
        </w:rPr>
        <w:t xml:space="preserve"> implies that the product has actually been produced and is already fully compliant with that Regulation before that date. This must be the case for each individual product benefitting from the transitional rule in </w:t>
      </w:r>
      <w:r w:rsidRPr="00F87467">
        <w:rPr>
          <w:rFonts w:ascii="Times New Roman" w:hAnsi="Times New Roman" w:cs="Times New Roman"/>
          <w:sz w:val="24"/>
          <w:szCs w:val="24"/>
        </w:rPr>
        <w:t xml:space="preserve">the </w:t>
      </w:r>
      <w:hyperlink r:id="rId65" w:history="1">
        <w:r w:rsidR="00DF1E77" w:rsidRPr="00D53265">
          <w:rPr>
            <w:rStyle w:val="Hyperlink"/>
            <w:rFonts w:ascii="Times New Roman" w:hAnsi="Times New Roman" w:cs="Times New Roman"/>
            <w:sz w:val="24"/>
            <w:szCs w:val="24"/>
          </w:rPr>
          <w:t>FPR</w:t>
        </w:r>
      </w:hyperlink>
      <w:r w:rsidR="00DF1E77" w:rsidRPr="00F87467">
        <w:rPr>
          <w:rFonts w:ascii="Times New Roman" w:hAnsi="Times New Roman" w:cs="Times New Roman"/>
          <w:sz w:val="24"/>
          <w:szCs w:val="24"/>
        </w:rPr>
        <w:t>, not to merely for the type or series to which an individual product belongs.</w:t>
      </w:r>
      <w:r w:rsidR="00DF1E77" w:rsidRPr="00F87467">
        <w:rPr>
          <w:rStyle w:val="FootnoteReference"/>
          <w:rFonts w:ascii="Times New Roman" w:hAnsi="Times New Roman" w:cs="Times New Roman"/>
          <w:sz w:val="24"/>
          <w:szCs w:val="24"/>
        </w:rPr>
        <w:footnoteReference w:id="3"/>
      </w:r>
      <w:r w:rsidR="00DF1E77" w:rsidRPr="00F87467">
        <w:rPr>
          <w:rFonts w:ascii="Times New Roman" w:hAnsi="Times New Roman" w:cs="Times New Roman"/>
          <w:sz w:val="24"/>
          <w:szCs w:val="24"/>
        </w:rPr>
        <w:t xml:space="preserve"> </w:t>
      </w:r>
    </w:p>
    <w:p w14:paraId="43F8726F" w14:textId="0968E789" w:rsidR="00DF1E77" w:rsidRPr="00F87467" w:rsidRDefault="001E0C66"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lastRenderedPageBreak/>
        <w:t>According to</w:t>
      </w:r>
      <w:r w:rsidR="00DF1E77" w:rsidRPr="00F87467">
        <w:rPr>
          <w:rFonts w:ascii="Times New Roman" w:hAnsi="Times New Roman" w:cs="Times New Roman"/>
          <w:sz w:val="24"/>
          <w:szCs w:val="24"/>
        </w:rPr>
        <w:t xml:space="preserve"> Regulation (EC) No 2003/2003</w:t>
      </w:r>
      <w:r w:rsidRPr="00F87467">
        <w:rPr>
          <w:rFonts w:ascii="Times New Roman" w:hAnsi="Times New Roman" w:cs="Times New Roman"/>
          <w:sz w:val="24"/>
          <w:szCs w:val="24"/>
        </w:rPr>
        <w:t>,</w:t>
      </w:r>
      <w:r w:rsidR="00DF1E77" w:rsidRPr="00F87467">
        <w:rPr>
          <w:rFonts w:ascii="Times New Roman" w:hAnsi="Times New Roman" w:cs="Times New Roman"/>
          <w:sz w:val="24"/>
          <w:szCs w:val="24"/>
        </w:rPr>
        <w:t xml:space="preserve"> the date that an EC fertiliser is </w:t>
      </w:r>
      <w:r w:rsidRPr="00F87467">
        <w:rPr>
          <w:rFonts w:ascii="Times New Roman" w:hAnsi="Times New Roman" w:cs="Times New Roman"/>
          <w:sz w:val="24"/>
          <w:szCs w:val="24"/>
        </w:rPr>
        <w:t>‘</w:t>
      </w:r>
      <w:r w:rsidR="00DF1E77" w:rsidRPr="00F87467">
        <w:rPr>
          <w:rFonts w:ascii="Times New Roman" w:hAnsi="Times New Roman" w:cs="Times New Roman"/>
          <w:sz w:val="24"/>
          <w:szCs w:val="24"/>
        </w:rPr>
        <w:t>placed on the market</w:t>
      </w:r>
      <w:r w:rsidRPr="00F87467">
        <w:rPr>
          <w:rFonts w:ascii="Times New Roman" w:hAnsi="Times New Roman" w:cs="Times New Roman"/>
          <w:sz w:val="24"/>
          <w:szCs w:val="24"/>
        </w:rPr>
        <w:t>’</w:t>
      </w:r>
      <w:r w:rsidR="00DF1E77" w:rsidRPr="00F87467">
        <w:rPr>
          <w:rFonts w:ascii="Times New Roman" w:hAnsi="Times New Roman" w:cs="Times New Roman"/>
          <w:sz w:val="24"/>
          <w:szCs w:val="24"/>
        </w:rPr>
        <w:t xml:space="preserve"> </w:t>
      </w:r>
      <w:r w:rsidRPr="00F87467">
        <w:rPr>
          <w:rFonts w:ascii="Times New Roman" w:hAnsi="Times New Roman" w:cs="Times New Roman"/>
          <w:sz w:val="24"/>
          <w:szCs w:val="24"/>
        </w:rPr>
        <w:t xml:space="preserve">is </w:t>
      </w:r>
      <w:r w:rsidR="00DF1E77" w:rsidRPr="00F87467">
        <w:rPr>
          <w:rFonts w:ascii="Times New Roman" w:hAnsi="Times New Roman" w:cs="Times New Roman"/>
          <w:sz w:val="24"/>
          <w:szCs w:val="24"/>
        </w:rPr>
        <w:t xml:space="preserve">when the individual product is 1) actually supplied, whether against payment or free of charge, or 2) stored for the purpose of supply, or 3) imported into the customs territory of the EU. </w:t>
      </w:r>
    </w:p>
    <w:p w14:paraId="2D4AE1E5" w14:textId="42C3AD7F" w:rsidR="00DF1E77" w:rsidRPr="00F87467" w:rsidRDefault="00DF1E77" w:rsidP="00E717A1">
      <w:pPr>
        <w:pStyle w:val="ListParagraph"/>
        <w:numPr>
          <w:ilvl w:val="0"/>
          <w:numId w:val="4"/>
        </w:numPr>
        <w:tabs>
          <w:tab w:val="left" w:pos="426"/>
        </w:tabs>
        <w:spacing w:before="60" w:after="60" w:line="276" w:lineRule="auto"/>
        <w:jc w:val="both"/>
        <w:rPr>
          <w:szCs w:val="24"/>
          <w:lang w:val="en-GB"/>
        </w:rPr>
      </w:pPr>
      <w:r w:rsidRPr="00F87467">
        <w:rPr>
          <w:szCs w:val="24"/>
          <w:lang w:val="en-GB"/>
        </w:rPr>
        <w:t xml:space="preserve">Placing on the market through </w:t>
      </w:r>
      <w:r w:rsidRPr="00F87467">
        <w:rPr>
          <w:b/>
          <w:szCs w:val="24"/>
          <w:lang w:val="en-GB"/>
        </w:rPr>
        <w:t>actual supply</w:t>
      </w:r>
      <w:r w:rsidRPr="00F87467">
        <w:rPr>
          <w:szCs w:val="24"/>
          <w:lang w:val="en-GB"/>
        </w:rPr>
        <w:t xml:space="preserve"> happens at the time of an offer or an agreement (written or verbal) between two or more legal or natural persons for the transfer of ownership, possession or any other right concerning the product in question after the stage of manufacture has taken place.</w:t>
      </w:r>
      <w:r w:rsidRPr="00F87467">
        <w:rPr>
          <w:rStyle w:val="FootnoteReference"/>
          <w:szCs w:val="24"/>
          <w:lang w:val="en-GB"/>
        </w:rPr>
        <w:footnoteReference w:id="4"/>
      </w:r>
      <w:r w:rsidRPr="00F87467">
        <w:rPr>
          <w:szCs w:val="24"/>
          <w:lang w:val="en-GB"/>
        </w:rPr>
        <w:t xml:space="preserve"> An offer or agreement concluded before the stage of manufacture has been finalised cannot be considered as placing on the market.</w:t>
      </w:r>
      <w:r w:rsidRPr="00F87467">
        <w:rPr>
          <w:rStyle w:val="FootnoteReference"/>
          <w:szCs w:val="24"/>
          <w:lang w:val="en-GB"/>
        </w:rPr>
        <w:footnoteReference w:id="5"/>
      </w:r>
      <w:r w:rsidRPr="00F87467">
        <w:rPr>
          <w:szCs w:val="24"/>
          <w:lang w:val="en-GB"/>
        </w:rPr>
        <w:t xml:space="preserve"> The transfer does not necessarily require the physical handover of the product, and it can be based on any type of legal instrument</w:t>
      </w:r>
      <w:r w:rsidR="00814841">
        <w:rPr>
          <w:szCs w:val="24"/>
          <w:lang w:val="en-GB"/>
        </w:rPr>
        <w:t>.</w:t>
      </w:r>
      <w:r w:rsidRPr="00F87467">
        <w:rPr>
          <w:rStyle w:val="FootnoteReference"/>
          <w:szCs w:val="24"/>
          <w:lang w:val="en-GB"/>
        </w:rPr>
        <w:footnoteReference w:id="6"/>
      </w:r>
    </w:p>
    <w:p w14:paraId="2CC8D24D" w14:textId="5E2FA2F7" w:rsidR="00DF1E77" w:rsidRPr="00F87467" w:rsidRDefault="00DF1E77" w:rsidP="00E717A1">
      <w:pPr>
        <w:pStyle w:val="ListParagraph"/>
        <w:numPr>
          <w:ilvl w:val="0"/>
          <w:numId w:val="4"/>
        </w:numPr>
        <w:tabs>
          <w:tab w:val="left" w:pos="426"/>
        </w:tabs>
        <w:spacing w:before="60" w:after="60" w:line="276" w:lineRule="auto"/>
        <w:jc w:val="both"/>
        <w:rPr>
          <w:szCs w:val="24"/>
          <w:lang w:val="en-GB"/>
        </w:rPr>
      </w:pPr>
      <w:r w:rsidRPr="00F87467">
        <w:rPr>
          <w:szCs w:val="24"/>
          <w:lang w:val="en-GB"/>
        </w:rPr>
        <w:t xml:space="preserve">An EC fertiliser may be </w:t>
      </w:r>
      <w:r w:rsidRPr="00F87467">
        <w:rPr>
          <w:b/>
          <w:szCs w:val="24"/>
          <w:lang w:val="en-GB"/>
        </w:rPr>
        <w:t>stored</w:t>
      </w:r>
      <w:r w:rsidRPr="00F87467">
        <w:rPr>
          <w:szCs w:val="24"/>
          <w:lang w:val="en-GB"/>
        </w:rPr>
        <w:t xml:space="preserve"> in either bulk or packaged form. The "purpose“ to supply an EC fertiliser stored before 16 July 2022 becomes obvious when the product is supplied, even if the actual supply, as described in the previous paragraph, occurs only after that date. However, a product can obviously not be stored before it has been produced. </w:t>
      </w:r>
    </w:p>
    <w:p w14:paraId="2F38B215" w14:textId="205D1597" w:rsidR="00DF1E77" w:rsidRPr="00F87467" w:rsidRDefault="00DF1E77" w:rsidP="00E717A1">
      <w:pPr>
        <w:pStyle w:val="ListParagraph"/>
        <w:numPr>
          <w:ilvl w:val="0"/>
          <w:numId w:val="4"/>
        </w:numPr>
        <w:tabs>
          <w:tab w:val="left" w:pos="426"/>
        </w:tabs>
        <w:spacing w:before="60" w:after="60" w:line="276" w:lineRule="auto"/>
        <w:jc w:val="both"/>
        <w:rPr>
          <w:szCs w:val="24"/>
          <w:lang w:val="en-GB"/>
        </w:rPr>
      </w:pPr>
      <w:r w:rsidRPr="00F87467">
        <w:rPr>
          <w:szCs w:val="24"/>
          <w:lang w:val="en-GB"/>
        </w:rPr>
        <w:t xml:space="preserve">The moment of </w:t>
      </w:r>
      <w:r w:rsidRPr="00F87467">
        <w:rPr>
          <w:b/>
          <w:szCs w:val="24"/>
          <w:lang w:val="en-GB"/>
        </w:rPr>
        <w:t>importation</w:t>
      </w:r>
      <w:r w:rsidRPr="00F87467">
        <w:rPr>
          <w:szCs w:val="24"/>
          <w:lang w:val="en-GB"/>
        </w:rPr>
        <w:t xml:space="preserve"> of an EC fertiliser </w:t>
      </w:r>
      <w:r w:rsidR="005302D1" w:rsidRPr="00814841">
        <w:rPr>
          <w:szCs w:val="24"/>
          <w:lang w:val="en-GB"/>
        </w:rPr>
        <w:t>is</w:t>
      </w:r>
      <w:r w:rsidRPr="00F87467">
        <w:rPr>
          <w:szCs w:val="24"/>
          <w:lang w:val="en-GB"/>
        </w:rPr>
        <w:t xml:space="preserve"> the moment when the product is </w:t>
      </w:r>
      <w:r w:rsidR="005302D1" w:rsidRPr="00F87467">
        <w:rPr>
          <w:szCs w:val="24"/>
          <w:lang w:val="en-GB"/>
        </w:rPr>
        <w:t xml:space="preserve">physically </w:t>
      </w:r>
      <w:r w:rsidRPr="00F87467">
        <w:rPr>
          <w:szCs w:val="24"/>
          <w:lang w:val="en-GB"/>
        </w:rPr>
        <w:t xml:space="preserve">brought into the customs territory of the EU. It is unrelated to the customs procedure </w:t>
      </w:r>
      <w:r w:rsidR="001E0C66" w:rsidRPr="00F87467">
        <w:rPr>
          <w:szCs w:val="24"/>
          <w:lang w:val="en-GB"/>
        </w:rPr>
        <w:t>for</w:t>
      </w:r>
      <w:r w:rsidRPr="00F87467">
        <w:rPr>
          <w:szCs w:val="24"/>
          <w:lang w:val="en-GB"/>
        </w:rPr>
        <w:t xml:space="preserve"> the clearance of goods brought into the customs territory, and is not necessarily the same as the moment of release for free circulation.</w:t>
      </w:r>
      <w:r w:rsidRPr="00F87467">
        <w:rPr>
          <w:rStyle w:val="FootnoteReference"/>
          <w:szCs w:val="24"/>
          <w:lang w:val="en-GB"/>
        </w:rPr>
        <w:footnoteReference w:id="7"/>
      </w:r>
      <w:r w:rsidRPr="00F87467">
        <w:rPr>
          <w:szCs w:val="24"/>
          <w:lang w:val="en-GB"/>
        </w:rPr>
        <w:t xml:space="preserve"> </w:t>
      </w:r>
    </w:p>
    <w:p w14:paraId="56A60918" w14:textId="2E11FA94" w:rsidR="005302D1" w:rsidRPr="00F87467" w:rsidRDefault="005302D1"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In conclusion, a</w:t>
      </w:r>
      <w:r w:rsidR="00DF1E77" w:rsidRPr="00F87467">
        <w:rPr>
          <w:rFonts w:ascii="Times New Roman" w:hAnsi="Times New Roman" w:cs="Times New Roman"/>
          <w:sz w:val="24"/>
          <w:szCs w:val="24"/>
        </w:rPr>
        <w:t>fter 16 July 2022, an economic operator will thus be allowed to make available individual EC fertilisers that</w:t>
      </w:r>
    </w:p>
    <w:p w14:paraId="45EF3B70" w14:textId="02C6C681" w:rsidR="005302D1" w:rsidRPr="00F87467" w:rsidRDefault="00DF1E77" w:rsidP="006E54DF">
      <w:pPr>
        <w:pStyle w:val="ListParagraph"/>
        <w:numPr>
          <w:ilvl w:val="0"/>
          <w:numId w:val="33"/>
        </w:numPr>
        <w:tabs>
          <w:tab w:val="left" w:pos="426"/>
        </w:tabs>
        <w:spacing w:before="60" w:after="60" w:line="276" w:lineRule="auto"/>
        <w:jc w:val="both"/>
        <w:rPr>
          <w:szCs w:val="24"/>
          <w:lang w:val="en-GB"/>
        </w:rPr>
      </w:pPr>
      <w:r w:rsidRPr="00F87467">
        <w:rPr>
          <w:szCs w:val="24"/>
          <w:lang w:val="en-GB"/>
        </w:rPr>
        <w:t>were already manufactured and compliant with Regulation (EC) No 2003/2003, and</w:t>
      </w:r>
    </w:p>
    <w:p w14:paraId="4F69AAF4" w14:textId="7116DD3C" w:rsidR="005302D1" w:rsidRPr="00F87467" w:rsidRDefault="00814841" w:rsidP="006E54DF">
      <w:pPr>
        <w:pStyle w:val="ListParagraph"/>
        <w:numPr>
          <w:ilvl w:val="0"/>
          <w:numId w:val="33"/>
        </w:numPr>
        <w:tabs>
          <w:tab w:val="left" w:pos="426"/>
        </w:tabs>
        <w:spacing w:before="60" w:after="60" w:line="276" w:lineRule="auto"/>
        <w:jc w:val="both"/>
        <w:rPr>
          <w:szCs w:val="24"/>
          <w:lang w:val="en-GB"/>
        </w:rPr>
      </w:pPr>
      <w:r>
        <w:rPr>
          <w:szCs w:val="24"/>
          <w:lang w:val="en-GB"/>
        </w:rPr>
        <w:t>w</w:t>
      </w:r>
      <w:r w:rsidR="005302D1" w:rsidRPr="00F87467">
        <w:rPr>
          <w:szCs w:val="24"/>
          <w:lang w:val="en-GB"/>
        </w:rPr>
        <w:t xml:space="preserve">ere </w:t>
      </w:r>
      <w:r w:rsidR="00DF1E77" w:rsidRPr="00F87467">
        <w:rPr>
          <w:szCs w:val="24"/>
          <w:lang w:val="en-GB"/>
        </w:rPr>
        <w:t xml:space="preserve">already either supplied, stored for the purpose of supply or imported. </w:t>
      </w:r>
    </w:p>
    <w:p w14:paraId="6ACB5C4D" w14:textId="77777777" w:rsidR="005302D1" w:rsidRPr="00F87467" w:rsidRDefault="00DF1E77"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Those products can remain on the market until their expiry date. </w:t>
      </w:r>
    </w:p>
    <w:p w14:paraId="2D14AEDD" w14:textId="1EB9E1F6" w:rsidR="00DF1E77" w:rsidRPr="00F87467" w:rsidRDefault="005302D1"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A</w:t>
      </w:r>
      <w:r w:rsidR="00DF1E77" w:rsidRPr="00F87467">
        <w:rPr>
          <w:rFonts w:ascii="Times New Roman" w:hAnsi="Times New Roman" w:cs="Times New Roman"/>
          <w:sz w:val="24"/>
          <w:szCs w:val="24"/>
        </w:rPr>
        <w:t xml:space="preserve">n economic operator will </w:t>
      </w:r>
      <w:r w:rsidR="00DF1E77" w:rsidRPr="00F87467">
        <w:rPr>
          <w:rFonts w:ascii="Times New Roman" w:hAnsi="Times New Roman" w:cs="Times New Roman"/>
          <w:i/>
          <w:sz w:val="24"/>
          <w:szCs w:val="24"/>
        </w:rPr>
        <w:t>not</w:t>
      </w:r>
      <w:r w:rsidR="00DF1E77" w:rsidRPr="00F87467">
        <w:rPr>
          <w:rFonts w:ascii="Times New Roman" w:hAnsi="Times New Roman" w:cs="Times New Roman"/>
          <w:sz w:val="24"/>
          <w:szCs w:val="24"/>
        </w:rPr>
        <w:t xml:space="preserve"> be allowed to make any individual EC fertiliser available on the market which was </w:t>
      </w:r>
      <w:r w:rsidR="00DF1E77" w:rsidRPr="00F87467">
        <w:rPr>
          <w:rFonts w:ascii="Times New Roman" w:hAnsi="Times New Roman" w:cs="Times New Roman"/>
          <w:i/>
          <w:sz w:val="24"/>
          <w:szCs w:val="24"/>
        </w:rPr>
        <w:t>not</w:t>
      </w:r>
      <w:r w:rsidR="00DF1E77" w:rsidRPr="00F87467">
        <w:rPr>
          <w:rFonts w:ascii="Times New Roman" w:hAnsi="Times New Roman" w:cs="Times New Roman"/>
          <w:sz w:val="24"/>
          <w:szCs w:val="24"/>
        </w:rPr>
        <w:t xml:space="preserve"> supplied, stored for the purpose of supply or imported before 16 July 2022, even if it is in compliance with Regulation (EC) No 2003/2003. </w:t>
      </w:r>
    </w:p>
    <w:p w14:paraId="514FC721" w14:textId="77777777" w:rsidR="007C473D" w:rsidRPr="00F87467" w:rsidRDefault="007C473D" w:rsidP="00F87467">
      <w:pPr>
        <w:tabs>
          <w:tab w:val="left" w:pos="426"/>
        </w:tabs>
        <w:spacing w:before="60" w:after="60"/>
        <w:jc w:val="both"/>
        <w:rPr>
          <w:rFonts w:ascii="Times New Roman" w:hAnsi="Times New Roman" w:cs="Times New Roman"/>
          <w:sz w:val="24"/>
          <w:szCs w:val="24"/>
        </w:rPr>
      </w:pPr>
    </w:p>
    <w:p w14:paraId="1E119C33" w14:textId="3B253E96" w:rsidR="00B73B95" w:rsidRPr="00F87467" w:rsidRDefault="00B73B95" w:rsidP="00F87467">
      <w:pPr>
        <w:pStyle w:val="Heading2"/>
        <w:spacing w:before="60" w:after="60" w:line="276" w:lineRule="auto"/>
        <w:rPr>
          <w:rFonts w:eastAsiaTheme="minorHAnsi"/>
        </w:rPr>
      </w:pPr>
      <w:bookmarkStart w:id="33" w:name="_Toc59185394"/>
      <w:r w:rsidRPr="00F87467">
        <w:rPr>
          <w:rFonts w:eastAsiaTheme="minorHAnsi"/>
        </w:rPr>
        <w:t xml:space="preserve">Is it only distributors that are allowed, after 16 July 2022, to make available on the market </w:t>
      </w:r>
      <w:r w:rsidR="00C64075" w:rsidRPr="00F87467">
        <w:rPr>
          <w:rFonts w:eastAsiaTheme="minorHAnsi"/>
        </w:rPr>
        <w:t>products</w:t>
      </w:r>
      <w:r w:rsidR="001E2F5E">
        <w:rPr>
          <w:rFonts w:eastAsiaTheme="minorHAnsi"/>
        </w:rPr>
        <w:t xml:space="preserve"> designated “EC f</w:t>
      </w:r>
      <w:r w:rsidRPr="00F87467">
        <w:rPr>
          <w:rFonts w:eastAsiaTheme="minorHAnsi"/>
        </w:rPr>
        <w:t>ertilisers” under the current rules?</w:t>
      </w:r>
      <w:bookmarkEnd w:id="33"/>
    </w:p>
    <w:p w14:paraId="5967784A" w14:textId="12CA66DF" w:rsidR="00C129F1" w:rsidRPr="00F87467" w:rsidRDefault="00CB43DF"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No, </w:t>
      </w:r>
      <w:r w:rsidR="00C129F1" w:rsidRPr="00F87467">
        <w:rPr>
          <w:rFonts w:ascii="Times New Roman" w:hAnsi="Times New Roman" w:cs="Times New Roman"/>
          <w:sz w:val="24"/>
          <w:szCs w:val="24"/>
        </w:rPr>
        <w:t xml:space="preserve">pursuant to Article 52 of </w:t>
      </w:r>
      <w:r w:rsidR="00226C09" w:rsidRPr="00F87467">
        <w:rPr>
          <w:rFonts w:ascii="Times New Roman" w:hAnsi="Times New Roman" w:cs="Times New Roman"/>
          <w:sz w:val="24"/>
          <w:szCs w:val="24"/>
        </w:rPr>
        <w:t xml:space="preserve">the </w:t>
      </w:r>
      <w:hyperlink r:id="rId66" w:history="1">
        <w:r w:rsidR="00C129F1" w:rsidRPr="00D53265">
          <w:rPr>
            <w:rStyle w:val="Hyperlink"/>
            <w:rFonts w:ascii="Times New Roman" w:hAnsi="Times New Roman" w:cs="Times New Roman"/>
            <w:sz w:val="24"/>
            <w:szCs w:val="24"/>
          </w:rPr>
          <w:t>FPR</w:t>
        </w:r>
      </w:hyperlink>
      <w:r w:rsidR="00C129F1" w:rsidRPr="00F87467">
        <w:rPr>
          <w:rFonts w:ascii="Times New Roman" w:hAnsi="Times New Roman" w:cs="Times New Roman"/>
          <w:sz w:val="24"/>
          <w:szCs w:val="24"/>
        </w:rPr>
        <w:t xml:space="preserve"> </w:t>
      </w:r>
      <w:r w:rsidR="00814841">
        <w:rPr>
          <w:rFonts w:ascii="Times New Roman" w:hAnsi="Times New Roman" w:cs="Times New Roman"/>
          <w:sz w:val="24"/>
          <w:szCs w:val="24"/>
        </w:rPr>
        <w:t>this is also possible</w:t>
      </w:r>
      <w:r w:rsidR="003D5517" w:rsidRPr="00F87467">
        <w:rPr>
          <w:rFonts w:ascii="Times New Roman" w:hAnsi="Times New Roman" w:cs="Times New Roman"/>
          <w:sz w:val="24"/>
          <w:szCs w:val="24"/>
        </w:rPr>
        <w:t xml:space="preserve"> </w:t>
      </w:r>
      <w:r w:rsidRPr="00F87467">
        <w:rPr>
          <w:rFonts w:ascii="Times New Roman" w:hAnsi="Times New Roman" w:cs="Times New Roman"/>
          <w:sz w:val="24"/>
          <w:szCs w:val="24"/>
        </w:rPr>
        <w:t xml:space="preserve">for any other person </w:t>
      </w:r>
      <w:r w:rsidR="003D5517" w:rsidRPr="00F87467">
        <w:rPr>
          <w:rFonts w:ascii="Times New Roman" w:hAnsi="Times New Roman" w:cs="Times New Roman"/>
          <w:sz w:val="24"/>
          <w:szCs w:val="24"/>
        </w:rPr>
        <w:t>m</w:t>
      </w:r>
      <w:r w:rsidRPr="00F87467">
        <w:rPr>
          <w:rFonts w:ascii="Times New Roman" w:hAnsi="Times New Roman" w:cs="Times New Roman"/>
          <w:sz w:val="24"/>
          <w:szCs w:val="24"/>
        </w:rPr>
        <w:t xml:space="preserve">aking </w:t>
      </w:r>
      <w:r w:rsidR="003D5517" w:rsidRPr="00F87467">
        <w:rPr>
          <w:rFonts w:ascii="Times New Roman" w:hAnsi="Times New Roman" w:cs="Times New Roman"/>
          <w:sz w:val="24"/>
          <w:szCs w:val="24"/>
        </w:rPr>
        <w:t xml:space="preserve">available </w:t>
      </w:r>
      <w:r w:rsidR="000F7ECD" w:rsidRPr="00F87467">
        <w:rPr>
          <w:rFonts w:ascii="Times New Roman" w:hAnsi="Times New Roman" w:cs="Times New Roman"/>
          <w:sz w:val="24"/>
          <w:szCs w:val="24"/>
        </w:rPr>
        <w:t>an ‘EC fertiliser’</w:t>
      </w:r>
      <w:r w:rsidR="00814841">
        <w:rPr>
          <w:rFonts w:ascii="Times New Roman" w:hAnsi="Times New Roman" w:cs="Times New Roman"/>
          <w:sz w:val="24"/>
          <w:szCs w:val="24"/>
        </w:rPr>
        <w:t xml:space="preserve"> </w:t>
      </w:r>
      <w:r w:rsidR="003D5517" w:rsidRPr="00F87467">
        <w:rPr>
          <w:rFonts w:ascii="Times New Roman" w:hAnsi="Times New Roman" w:cs="Times New Roman"/>
          <w:sz w:val="24"/>
          <w:szCs w:val="24"/>
        </w:rPr>
        <w:t>on the market</w:t>
      </w:r>
      <w:r w:rsidR="000F7ECD" w:rsidRPr="00F87467">
        <w:rPr>
          <w:rFonts w:ascii="Times New Roman" w:hAnsi="Times New Roman" w:cs="Times New Roman"/>
          <w:sz w:val="24"/>
          <w:szCs w:val="24"/>
        </w:rPr>
        <w:t xml:space="preserve"> (under the conditions referred to in the previous answer)</w:t>
      </w:r>
      <w:r w:rsidR="00B73B95" w:rsidRPr="00F87467">
        <w:rPr>
          <w:rFonts w:ascii="Times New Roman" w:hAnsi="Times New Roman" w:cs="Times New Roman"/>
          <w:sz w:val="24"/>
          <w:szCs w:val="24"/>
        </w:rPr>
        <w:t>.</w:t>
      </w:r>
      <w:r w:rsidR="00C64075" w:rsidRPr="00F87467">
        <w:rPr>
          <w:rFonts w:ascii="Times New Roman" w:hAnsi="Times New Roman" w:cs="Times New Roman"/>
          <w:sz w:val="24"/>
          <w:szCs w:val="24"/>
        </w:rPr>
        <w:t xml:space="preserve"> </w:t>
      </w:r>
    </w:p>
    <w:p w14:paraId="5D54125B" w14:textId="43A41517" w:rsidR="00C129F1" w:rsidRPr="00F87467" w:rsidRDefault="00C64075"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It is true that recital 70 of </w:t>
      </w:r>
      <w:r w:rsidR="000F7ECD" w:rsidRPr="00F87467">
        <w:rPr>
          <w:rFonts w:ascii="Times New Roman" w:hAnsi="Times New Roman" w:cs="Times New Roman"/>
          <w:sz w:val="24"/>
          <w:szCs w:val="24"/>
        </w:rPr>
        <w:t xml:space="preserve">the </w:t>
      </w:r>
      <w:hyperlink r:id="rId67"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refers only to distributors, and </w:t>
      </w:r>
      <w:r w:rsidR="00C129F1" w:rsidRPr="00F87467">
        <w:rPr>
          <w:rFonts w:ascii="Times New Roman" w:hAnsi="Times New Roman" w:cs="Times New Roman"/>
          <w:sz w:val="24"/>
          <w:szCs w:val="24"/>
        </w:rPr>
        <w:t>n</w:t>
      </w:r>
      <w:r w:rsidRPr="00F87467">
        <w:rPr>
          <w:rFonts w:ascii="Times New Roman" w:hAnsi="Times New Roman" w:cs="Times New Roman"/>
          <w:sz w:val="24"/>
          <w:szCs w:val="24"/>
        </w:rPr>
        <w:t xml:space="preserve">ot to </w:t>
      </w:r>
      <w:r w:rsidR="00C129F1" w:rsidRPr="00F87467">
        <w:rPr>
          <w:rFonts w:ascii="Times New Roman" w:hAnsi="Times New Roman" w:cs="Times New Roman"/>
          <w:sz w:val="24"/>
          <w:szCs w:val="24"/>
        </w:rPr>
        <w:t xml:space="preserve">any </w:t>
      </w:r>
      <w:r w:rsidRPr="00F87467">
        <w:rPr>
          <w:rFonts w:ascii="Times New Roman" w:hAnsi="Times New Roman" w:cs="Times New Roman"/>
          <w:sz w:val="24"/>
          <w:szCs w:val="24"/>
        </w:rPr>
        <w:t xml:space="preserve">other economic operators. </w:t>
      </w:r>
    </w:p>
    <w:p w14:paraId="1330915C" w14:textId="11A8B208" w:rsidR="0065629D" w:rsidRPr="00F87467" w:rsidRDefault="00C64075"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lastRenderedPageBreak/>
        <w:t xml:space="preserve">But it is clear that also </w:t>
      </w:r>
      <w:r w:rsidR="00C129F1" w:rsidRPr="00F87467">
        <w:rPr>
          <w:rFonts w:ascii="Times New Roman" w:hAnsi="Times New Roman" w:cs="Times New Roman"/>
          <w:sz w:val="24"/>
          <w:szCs w:val="24"/>
        </w:rPr>
        <w:t>other economic operators</w:t>
      </w:r>
      <w:r w:rsidRPr="00F87467">
        <w:rPr>
          <w:rFonts w:ascii="Times New Roman" w:hAnsi="Times New Roman" w:cs="Times New Roman"/>
          <w:sz w:val="24"/>
          <w:szCs w:val="24"/>
        </w:rPr>
        <w:t xml:space="preserve"> can </w:t>
      </w:r>
      <w:r w:rsidR="0043530E" w:rsidRPr="00F87467">
        <w:rPr>
          <w:rFonts w:ascii="Times New Roman" w:hAnsi="Times New Roman" w:cs="Times New Roman"/>
          <w:sz w:val="24"/>
          <w:szCs w:val="24"/>
        </w:rPr>
        <w:t>have an interest in making</w:t>
      </w:r>
      <w:r w:rsidRPr="00F87467">
        <w:rPr>
          <w:rFonts w:ascii="Times New Roman" w:hAnsi="Times New Roman" w:cs="Times New Roman"/>
          <w:sz w:val="24"/>
          <w:szCs w:val="24"/>
        </w:rPr>
        <w:t xml:space="preserve"> </w:t>
      </w:r>
      <w:r w:rsidR="00C129F1" w:rsidRPr="00F87467">
        <w:rPr>
          <w:rFonts w:ascii="Times New Roman" w:hAnsi="Times New Roman" w:cs="Times New Roman"/>
          <w:sz w:val="24"/>
          <w:szCs w:val="24"/>
        </w:rPr>
        <w:t xml:space="preserve">available on the market after 16 July 2022 an </w:t>
      </w:r>
      <w:r w:rsidR="000F7ECD" w:rsidRPr="00F87467">
        <w:rPr>
          <w:rFonts w:ascii="Times New Roman" w:hAnsi="Times New Roman" w:cs="Times New Roman"/>
          <w:sz w:val="24"/>
          <w:szCs w:val="24"/>
        </w:rPr>
        <w:t>’</w:t>
      </w:r>
      <w:r w:rsidR="00C129F1" w:rsidRPr="00F87467">
        <w:rPr>
          <w:rFonts w:ascii="Times New Roman" w:hAnsi="Times New Roman" w:cs="Times New Roman"/>
          <w:sz w:val="24"/>
          <w:szCs w:val="24"/>
        </w:rPr>
        <w:t>EC fertiliser</w:t>
      </w:r>
      <w:r w:rsidR="000F7ECD" w:rsidRPr="00F87467">
        <w:rPr>
          <w:rFonts w:ascii="Times New Roman" w:hAnsi="Times New Roman" w:cs="Times New Roman"/>
          <w:sz w:val="24"/>
          <w:szCs w:val="24"/>
        </w:rPr>
        <w:t>’</w:t>
      </w:r>
      <w:r w:rsidR="00C129F1" w:rsidRPr="00F87467">
        <w:rPr>
          <w:rFonts w:ascii="Times New Roman" w:hAnsi="Times New Roman" w:cs="Times New Roman"/>
          <w:sz w:val="24"/>
          <w:szCs w:val="24"/>
        </w:rPr>
        <w:t xml:space="preserve"> placed on the market before that date, </w:t>
      </w:r>
      <w:r w:rsidR="00C129F1" w:rsidRPr="00F87467">
        <w:rPr>
          <w:rFonts w:ascii="Times New Roman" w:hAnsi="Times New Roman" w:cs="Times New Roman"/>
          <w:i/>
          <w:sz w:val="24"/>
          <w:szCs w:val="24"/>
        </w:rPr>
        <w:t>e.g.</w:t>
      </w:r>
      <w:r w:rsidR="00C129F1" w:rsidRPr="00F87467">
        <w:rPr>
          <w:rFonts w:ascii="Times New Roman" w:hAnsi="Times New Roman" w:cs="Times New Roman"/>
          <w:sz w:val="24"/>
          <w:szCs w:val="24"/>
        </w:rPr>
        <w:t xml:space="preserve"> an importer having stored the </w:t>
      </w:r>
      <w:r w:rsidR="000F7ECD" w:rsidRPr="00F87467">
        <w:rPr>
          <w:rFonts w:ascii="Times New Roman" w:hAnsi="Times New Roman" w:cs="Times New Roman"/>
          <w:sz w:val="24"/>
          <w:szCs w:val="24"/>
        </w:rPr>
        <w:t>‘</w:t>
      </w:r>
      <w:r w:rsidR="00C129F1" w:rsidRPr="00F87467">
        <w:rPr>
          <w:rFonts w:ascii="Times New Roman" w:hAnsi="Times New Roman" w:cs="Times New Roman"/>
          <w:sz w:val="24"/>
          <w:szCs w:val="24"/>
        </w:rPr>
        <w:t>EC fertiliser</w:t>
      </w:r>
      <w:r w:rsidR="000F7ECD" w:rsidRPr="00F87467">
        <w:rPr>
          <w:rFonts w:ascii="Times New Roman" w:hAnsi="Times New Roman" w:cs="Times New Roman"/>
          <w:sz w:val="24"/>
          <w:szCs w:val="24"/>
        </w:rPr>
        <w:t>’</w:t>
      </w:r>
      <w:r w:rsidR="00C129F1" w:rsidRPr="00F87467">
        <w:rPr>
          <w:rFonts w:ascii="Times New Roman" w:hAnsi="Times New Roman" w:cs="Times New Roman"/>
          <w:sz w:val="24"/>
          <w:szCs w:val="24"/>
        </w:rPr>
        <w:t xml:space="preserve"> </w:t>
      </w:r>
      <w:r w:rsidR="00B60E21" w:rsidRPr="00F87467">
        <w:rPr>
          <w:rFonts w:ascii="Times New Roman" w:hAnsi="Times New Roman" w:cs="Times New Roman"/>
          <w:sz w:val="24"/>
          <w:szCs w:val="24"/>
        </w:rPr>
        <w:t xml:space="preserve">after the </w:t>
      </w:r>
      <w:r w:rsidR="0043530E" w:rsidRPr="00F87467">
        <w:rPr>
          <w:rFonts w:ascii="Times New Roman" w:hAnsi="Times New Roman" w:cs="Times New Roman"/>
          <w:sz w:val="24"/>
          <w:szCs w:val="24"/>
        </w:rPr>
        <w:t xml:space="preserve">importation, or a manufacturer </w:t>
      </w:r>
      <w:r w:rsidR="00B86447" w:rsidRPr="00F87467">
        <w:rPr>
          <w:rFonts w:ascii="Times New Roman" w:hAnsi="Times New Roman" w:cs="Times New Roman"/>
          <w:sz w:val="24"/>
          <w:szCs w:val="24"/>
        </w:rPr>
        <w:t>storing</w:t>
      </w:r>
      <w:r w:rsidR="0043530E" w:rsidRPr="00F87467">
        <w:rPr>
          <w:rFonts w:ascii="Times New Roman" w:hAnsi="Times New Roman" w:cs="Times New Roman"/>
          <w:sz w:val="24"/>
          <w:szCs w:val="24"/>
        </w:rPr>
        <w:t xml:space="preserve"> a product </w:t>
      </w:r>
      <w:r w:rsidR="00B86447" w:rsidRPr="00F87467">
        <w:rPr>
          <w:rFonts w:ascii="Times New Roman" w:hAnsi="Times New Roman" w:cs="Times New Roman"/>
          <w:sz w:val="24"/>
          <w:szCs w:val="24"/>
        </w:rPr>
        <w:t xml:space="preserve">previously </w:t>
      </w:r>
      <w:r w:rsidR="0043530E" w:rsidRPr="00F87467">
        <w:rPr>
          <w:rFonts w:ascii="Times New Roman" w:hAnsi="Times New Roman" w:cs="Times New Roman"/>
          <w:sz w:val="24"/>
          <w:szCs w:val="24"/>
        </w:rPr>
        <w:t>manufactured by him or her</w:t>
      </w:r>
      <w:r w:rsidR="00C129F1" w:rsidRPr="00F87467">
        <w:rPr>
          <w:rFonts w:ascii="Times New Roman" w:hAnsi="Times New Roman" w:cs="Times New Roman"/>
          <w:sz w:val="24"/>
          <w:szCs w:val="24"/>
        </w:rPr>
        <w:t xml:space="preserve">. </w:t>
      </w:r>
      <w:r w:rsidR="0065629D" w:rsidRPr="00F87467">
        <w:rPr>
          <w:rFonts w:ascii="Times New Roman" w:hAnsi="Times New Roman" w:cs="Times New Roman"/>
          <w:sz w:val="24"/>
          <w:szCs w:val="24"/>
        </w:rPr>
        <w:t xml:space="preserve">And Article 52 of </w:t>
      </w:r>
      <w:r w:rsidR="00226C09" w:rsidRPr="00F87467">
        <w:rPr>
          <w:rFonts w:ascii="Times New Roman" w:hAnsi="Times New Roman" w:cs="Times New Roman"/>
          <w:sz w:val="24"/>
          <w:szCs w:val="24"/>
        </w:rPr>
        <w:t xml:space="preserve">the </w:t>
      </w:r>
      <w:hyperlink r:id="rId68" w:history="1">
        <w:r w:rsidR="0065629D" w:rsidRPr="00D53265">
          <w:rPr>
            <w:rStyle w:val="Hyperlink"/>
            <w:rFonts w:ascii="Times New Roman" w:hAnsi="Times New Roman" w:cs="Times New Roman"/>
            <w:sz w:val="24"/>
            <w:szCs w:val="24"/>
          </w:rPr>
          <w:t>FPR</w:t>
        </w:r>
      </w:hyperlink>
      <w:r w:rsidR="0065629D" w:rsidRPr="00F87467">
        <w:rPr>
          <w:rFonts w:ascii="Times New Roman" w:hAnsi="Times New Roman" w:cs="Times New Roman"/>
          <w:sz w:val="24"/>
          <w:szCs w:val="24"/>
        </w:rPr>
        <w:t xml:space="preserve"> does not explicitly </w:t>
      </w:r>
      <w:r w:rsidR="0043530E" w:rsidRPr="00F87467">
        <w:rPr>
          <w:rFonts w:ascii="Times New Roman" w:hAnsi="Times New Roman" w:cs="Times New Roman"/>
          <w:sz w:val="24"/>
          <w:szCs w:val="24"/>
        </w:rPr>
        <w:t>put them in a less favourable position than a distributor</w:t>
      </w:r>
      <w:r w:rsidR="0065629D" w:rsidRPr="00F87467">
        <w:rPr>
          <w:rFonts w:ascii="Times New Roman" w:hAnsi="Times New Roman" w:cs="Times New Roman"/>
          <w:sz w:val="24"/>
          <w:szCs w:val="24"/>
        </w:rPr>
        <w:t xml:space="preserve">, nor is there any objective justification for making such a discrimination. </w:t>
      </w:r>
    </w:p>
    <w:p w14:paraId="24A21936" w14:textId="7C8A2B56" w:rsidR="00B73B95" w:rsidRPr="00F87467" w:rsidRDefault="00C129F1"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The reference to distributors in recital 70 must therefore be seen only as an example representing the most plausible scenario covered by Article 52</w:t>
      </w:r>
      <w:r w:rsidR="0069493E" w:rsidRPr="00F87467">
        <w:rPr>
          <w:rFonts w:ascii="Times New Roman" w:hAnsi="Times New Roman" w:cs="Times New Roman"/>
          <w:sz w:val="24"/>
          <w:szCs w:val="24"/>
        </w:rPr>
        <w:t xml:space="preserve">, and not as </w:t>
      </w:r>
      <w:r w:rsidR="00D833BA" w:rsidRPr="00F87467">
        <w:rPr>
          <w:rFonts w:ascii="Times New Roman" w:hAnsi="Times New Roman" w:cs="Times New Roman"/>
          <w:sz w:val="24"/>
          <w:szCs w:val="24"/>
        </w:rPr>
        <w:t>pre-empting</w:t>
      </w:r>
      <w:r w:rsidRPr="00F87467">
        <w:rPr>
          <w:rFonts w:ascii="Times New Roman" w:hAnsi="Times New Roman" w:cs="Times New Roman"/>
          <w:sz w:val="24"/>
          <w:szCs w:val="24"/>
        </w:rPr>
        <w:t xml:space="preserve"> the Article</w:t>
      </w:r>
      <w:r w:rsidR="0065629D" w:rsidRPr="00F87467">
        <w:rPr>
          <w:rFonts w:ascii="Times New Roman" w:hAnsi="Times New Roman" w:cs="Times New Roman"/>
          <w:sz w:val="24"/>
          <w:szCs w:val="24"/>
        </w:rPr>
        <w:t xml:space="preserve"> of the rest of its content</w:t>
      </w:r>
      <w:r w:rsidRPr="00F87467">
        <w:rPr>
          <w:rFonts w:ascii="Times New Roman" w:hAnsi="Times New Roman" w:cs="Times New Roman"/>
          <w:sz w:val="24"/>
          <w:szCs w:val="24"/>
        </w:rPr>
        <w:t>.</w:t>
      </w:r>
    </w:p>
    <w:p w14:paraId="0D922E9A" w14:textId="5C1A9E49" w:rsidR="00EB562C" w:rsidRPr="00F87467" w:rsidRDefault="00EB562C" w:rsidP="00F87467">
      <w:pPr>
        <w:tabs>
          <w:tab w:val="left" w:pos="426"/>
        </w:tabs>
        <w:spacing w:before="60" w:after="60"/>
        <w:jc w:val="both"/>
        <w:rPr>
          <w:rFonts w:ascii="Times New Roman" w:hAnsi="Times New Roman" w:cs="Times New Roman"/>
          <w:color w:val="FF0000"/>
          <w:sz w:val="24"/>
          <w:szCs w:val="24"/>
        </w:rPr>
      </w:pPr>
    </w:p>
    <w:p w14:paraId="7A537412" w14:textId="26CECB10" w:rsidR="0052480F" w:rsidRPr="00F87467" w:rsidRDefault="0052480F" w:rsidP="00F87467">
      <w:pPr>
        <w:pStyle w:val="Heading2"/>
        <w:spacing w:before="60" w:after="60" w:line="276" w:lineRule="auto"/>
        <w:rPr>
          <w:rFonts w:eastAsiaTheme="minorHAnsi"/>
        </w:rPr>
      </w:pPr>
      <w:bookmarkStart w:id="34" w:name="_Toc59185395"/>
      <w:r w:rsidRPr="00F87467">
        <w:rPr>
          <w:rFonts w:eastAsiaTheme="minorHAnsi"/>
        </w:rPr>
        <w:t xml:space="preserve">How can an economic operator prove that fertilisers designated </w:t>
      </w:r>
      <w:r w:rsidR="00266D97" w:rsidRPr="00F87467">
        <w:rPr>
          <w:rFonts w:eastAsiaTheme="minorHAnsi"/>
        </w:rPr>
        <w:t>‘</w:t>
      </w:r>
      <w:r w:rsidRPr="00F87467">
        <w:rPr>
          <w:rFonts w:eastAsiaTheme="minorHAnsi"/>
        </w:rPr>
        <w:t>EC Fertilisers</w:t>
      </w:r>
      <w:r w:rsidR="00266D97" w:rsidRPr="00F87467">
        <w:rPr>
          <w:rFonts w:eastAsiaTheme="minorHAnsi"/>
        </w:rPr>
        <w:t>’</w:t>
      </w:r>
      <w:r w:rsidRPr="00F87467">
        <w:rPr>
          <w:rFonts w:eastAsiaTheme="minorHAnsi"/>
        </w:rPr>
        <w:t xml:space="preserve"> under the current rules ha</w:t>
      </w:r>
      <w:r w:rsidR="00E00C5E" w:rsidRPr="00F87467">
        <w:rPr>
          <w:rFonts w:eastAsiaTheme="minorHAnsi"/>
        </w:rPr>
        <w:t>ve</w:t>
      </w:r>
      <w:r w:rsidRPr="00F87467">
        <w:rPr>
          <w:rFonts w:eastAsiaTheme="minorHAnsi"/>
        </w:rPr>
        <w:t xml:space="preserve"> been placed on the market before </w:t>
      </w:r>
      <w:r w:rsidR="002C2441" w:rsidRPr="00F87467">
        <w:rPr>
          <w:rFonts w:eastAsiaTheme="minorHAnsi"/>
        </w:rPr>
        <w:t>16</w:t>
      </w:r>
      <w:r w:rsidRPr="00F87467">
        <w:rPr>
          <w:rFonts w:eastAsiaTheme="minorHAnsi"/>
        </w:rPr>
        <w:t xml:space="preserve"> July 2022?</w:t>
      </w:r>
      <w:bookmarkEnd w:id="34"/>
    </w:p>
    <w:p w14:paraId="0097EB42" w14:textId="3EE59C17" w:rsidR="00266D97" w:rsidRPr="00F87467" w:rsidRDefault="00266D97"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T</w:t>
      </w:r>
      <w:r w:rsidR="00DF7822" w:rsidRPr="00F87467">
        <w:rPr>
          <w:rFonts w:ascii="Times New Roman" w:hAnsi="Times New Roman" w:cs="Times New Roman"/>
          <w:sz w:val="24"/>
          <w:szCs w:val="24"/>
        </w:rPr>
        <w:t xml:space="preserve">he burden of proof in this respect will be on the economic operator supplying the product. </w:t>
      </w:r>
    </w:p>
    <w:p w14:paraId="6AF8DE72" w14:textId="23B31F3F" w:rsidR="00266D97" w:rsidRPr="00F87467" w:rsidRDefault="00266D97"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T</w:t>
      </w:r>
      <w:r w:rsidR="00DF7822" w:rsidRPr="00F87467">
        <w:rPr>
          <w:rFonts w:ascii="Times New Roman" w:hAnsi="Times New Roman" w:cs="Times New Roman"/>
          <w:sz w:val="24"/>
          <w:szCs w:val="24"/>
        </w:rPr>
        <w:t>here is currently no harmonised guidance for market surveillance authorities regarding which evidence to accept in this respect.</w:t>
      </w:r>
      <w:r w:rsidR="003039F5" w:rsidRPr="00F87467">
        <w:rPr>
          <w:rFonts w:ascii="Times New Roman" w:hAnsi="Times New Roman" w:cs="Times New Roman"/>
          <w:sz w:val="24"/>
          <w:szCs w:val="24"/>
        </w:rPr>
        <w:t xml:space="preserve"> </w:t>
      </w:r>
    </w:p>
    <w:p w14:paraId="1F116A39" w14:textId="683C16B8" w:rsidR="00266D97" w:rsidRPr="00F87467" w:rsidRDefault="007972E0"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If the EC fertiliser was supplied before 16 July 2022, it is advisable to provide</w:t>
      </w:r>
      <w:r w:rsidR="003039F5" w:rsidRPr="00F87467">
        <w:rPr>
          <w:rFonts w:ascii="Times New Roman" w:hAnsi="Times New Roman" w:cs="Times New Roman"/>
          <w:sz w:val="24"/>
          <w:szCs w:val="24"/>
        </w:rPr>
        <w:t xml:space="preserve"> documentation demonstrating the transfer of </w:t>
      </w:r>
      <w:r w:rsidR="003039F5" w:rsidRPr="001B2921">
        <w:rPr>
          <w:rFonts w:ascii="Times New Roman" w:hAnsi="Times New Roman" w:cs="Times New Roman"/>
          <w:sz w:val="24"/>
          <w:szCs w:val="24"/>
        </w:rPr>
        <w:t>ownership</w:t>
      </w:r>
      <w:r w:rsidR="0065122E" w:rsidRPr="001B2921">
        <w:rPr>
          <w:rFonts w:ascii="Times New Roman" w:hAnsi="Times New Roman" w:cs="Times New Roman"/>
          <w:sz w:val="24"/>
          <w:szCs w:val="24"/>
        </w:rPr>
        <w:t>, possession or any other right on the product, for example with a contract of sale or information on the shipping of the product</w:t>
      </w:r>
      <w:r w:rsidR="003039F5" w:rsidRPr="001B2921">
        <w:rPr>
          <w:rFonts w:ascii="Times New Roman" w:hAnsi="Times New Roman" w:cs="Times New Roman"/>
          <w:sz w:val="24"/>
          <w:szCs w:val="24"/>
        </w:rPr>
        <w:t>.</w:t>
      </w:r>
      <w:r w:rsidRPr="00F87467">
        <w:rPr>
          <w:rFonts w:ascii="Times New Roman" w:hAnsi="Times New Roman" w:cs="Times New Roman"/>
          <w:sz w:val="24"/>
          <w:szCs w:val="24"/>
        </w:rPr>
        <w:t xml:space="preserve"> </w:t>
      </w:r>
    </w:p>
    <w:p w14:paraId="286B03B3" w14:textId="247F6FE1" w:rsidR="004F3116" w:rsidRPr="00F87467" w:rsidRDefault="007972E0"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If</w:t>
      </w:r>
      <w:r w:rsidR="00D833BA" w:rsidRPr="00F87467">
        <w:rPr>
          <w:rFonts w:ascii="Times New Roman" w:hAnsi="Times New Roman" w:cs="Times New Roman"/>
          <w:sz w:val="24"/>
          <w:szCs w:val="24"/>
        </w:rPr>
        <w:t xml:space="preserve"> </w:t>
      </w:r>
      <w:r w:rsidRPr="00F87467">
        <w:rPr>
          <w:rFonts w:ascii="Times New Roman" w:hAnsi="Times New Roman" w:cs="Times New Roman"/>
          <w:sz w:val="24"/>
          <w:szCs w:val="24"/>
        </w:rPr>
        <w:t xml:space="preserve">the EC fertiliser was only stored for the purpose of supply before that date, the manufacturer </w:t>
      </w:r>
      <w:r w:rsidR="00266D97" w:rsidRPr="00F87467">
        <w:rPr>
          <w:rFonts w:ascii="Times New Roman" w:hAnsi="Times New Roman" w:cs="Times New Roman"/>
          <w:sz w:val="24"/>
          <w:szCs w:val="24"/>
        </w:rPr>
        <w:t xml:space="preserve">has </w:t>
      </w:r>
      <w:r w:rsidRPr="00F87467">
        <w:rPr>
          <w:rFonts w:ascii="Times New Roman" w:hAnsi="Times New Roman" w:cs="Times New Roman"/>
          <w:sz w:val="24"/>
          <w:szCs w:val="24"/>
        </w:rPr>
        <w:t>to ensure proper documentation demonstrating that the product was produced in conformity with Regulation (EC) 2003/2003 before 16 July 2022.</w:t>
      </w:r>
    </w:p>
    <w:p w14:paraId="2EFDBD38" w14:textId="77777777" w:rsidR="009418B1" w:rsidRPr="00F87467" w:rsidRDefault="009418B1" w:rsidP="00F87467">
      <w:pPr>
        <w:tabs>
          <w:tab w:val="left" w:pos="426"/>
        </w:tabs>
        <w:spacing w:before="60" w:after="60"/>
        <w:jc w:val="both"/>
        <w:rPr>
          <w:rFonts w:ascii="Times New Roman" w:hAnsi="Times New Roman" w:cs="Times New Roman"/>
          <w:sz w:val="24"/>
          <w:szCs w:val="24"/>
        </w:rPr>
      </w:pPr>
    </w:p>
    <w:p w14:paraId="121CA736" w14:textId="678C3C23" w:rsidR="00B61392" w:rsidRPr="00F87467" w:rsidRDefault="00B61392" w:rsidP="00F87467">
      <w:pPr>
        <w:pStyle w:val="Heading2"/>
        <w:spacing w:before="60" w:after="60" w:line="276" w:lineRule="auto"/>
        <w:rPr>
          <w:rFonts w:eastAsiaTheme="minorHAnsi"/>
        </w:rPr>
      </w:pPr>
      <w:bookmarkStart w:id="35" w:name="_Toc59185396"/>
      <w:r w:rsidRPr="00F87467">
        <w:rPr>
          <w:rFonts w:eastAsiaTheme="minorHAnsi"/>
        </w:rPr>
        <w:t xml:space="preserve">Before 16 July 2022, is an economic operator allowed to make EU fertilising products available on the market pursuant to </w:t>
      </w:r>
      <w:r w:rsidR="00684CFE" w:rsidRPr="00F87467">
        <w:rPr>
          <w:rFonts w:eastAsiaTheme="minorHAnsi"/>
        </w:rPr>
        <w:t xml:space="preserve">the </w:t>
      </w:r>
      <w:r w:rsidRPr="00F87467">
        <w:rPr>
          <w:rFonts w:eastAsiaTheme="minorHAnsi"/>
        </w:rPr>
        <w:t>FPR?</w:t>
      </w:r>
      <w:bookmarkEnd w:id="35"/>
    </w:p>
    <w:p w14:paraId="25B0B9DE" w14:textId="77777777" w:rsidR="00A0123C" w:rsidRPr="00F87467" w:rsidRDefault="00B61392"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No</w:t>
      </w:r>
      <w:r w:rsidR="008B1D3C" w:rsidRPr="00F87467">
        <w:rPr>
          <w:rFonts w:ascii="Times New Roman" w:hAnsi="Times New Roman" w:cs="Times New Roman"/>
          <w:sz w:val="24"/>
          <w:szCs w:val="24"/>
        </w:rPr>
        <w:t xml:space="preserve">. </w:t>
      </w:r>
    </w:p>
    <w:p w14:paraId="7AD768D7" w14:textId="45DA141F" w:rsidR="002566B9" w:rsidRPr="00F87467" w:rsidRDefault="00B61392"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EU fertilising products are defined in Article 2(2) of </w:t>
      </w:r>
      <w:r w:rsidR="00E818A5" w:rsidRPr="00F87467">
        <w:rPr>
          <w:rFonts w:ascii="Times New Roman" w:hAnsi="Times New Roman" w:cs="Times New Roman"/>
          <w:sz w:val="24"/>
          <w:szCs w:val="24"/>
        </w:rPr>
        <w:t xml:space="preserve">the </w:t>
      </w:r>
      <w:hyperlink r:id="rId69"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as fertilising products which are CE marked when made available on the market. </w:t>
      </w:r>
      <w:r w:rsidR="00C22558" w:rsidRPr="00F87467">
        <w:rPr>
          <w:rFonts w:ascii="Times New Roman" w:hAnsi="Times New Roman" w:cs="Times New Roman"/>
          <w:sz w:val="24"/>
          <w:szCs w:val="24"/>
        </w:rPr>
        <w:t>Pursuant to</w:t>
      </w:r>
      <w:r w:rsidRPr="00F87467">
        <w:rPr>
          <w:rFonts w:ascii="Times New Roman" w:hAnsi="Times New Roman" w:cs="Times New Roman"/>
          <w:sz w:val="24"/>
          <w:szCs w:val="24"/>
        </w:rPr>
        <w:t xml:space="preserve"> Article 30 of Regulation </w:t>
      </w:r>
      <w:r w:rsidR="008B1D3C" w:rsidRPr="00F87467">
        <w:rPr>
          <w:rFonts w:ascii="Times New Roman" w:hAnsi="Times New Roman" w:cs="Times New Roman"/>
          <w:sz w:val="24"/>
          <w:szCs w:val="24"/>
        </w:rPr>
        <w:t>(</w:t>
      </w:r>
      <w:r w:rsidRPr="00F87467">
        <w:rPr>
          <w:rFonts w:ascii="Times New Roman" w:hAnsi="Times New Roman" w:cs="Times New Roman"/>
          <w:sz w:val="24"/>
          <w:szCs w:val="24"/>
        </w:rPr>
        <w:t>EC) No 765/2008</w:t>
      </w:r>
      <w:r w:rsidR="003D5517" w:rsidRPr="00F87467">
        <w:rPr>
          <w:rFonts w:ascii="Times New Roman" w:hAnsi="Times New Roman" w:cs="Times New Roman"/>
          <w:sz w:val="24"/>
          <w:szCs w:val="24"/>
        </w:rPr>
        <w:t xml:space="preserve">, </w:t>
      </w:r>
      <w:r w:rsidR="00CB43DF" w:rsidRPr="00F87467">
        <w:rPr>
          <w:rFonts w:ascii="Times New Roman" w:hAnsi="Times New Roman" w:cs="Times New Roman"/>
          <w:sz w:val="24"/>
          <w:szCs w:val="24"/>
        </w:rPr>
        <w:t xml:space="preserve">CE marking </w:t>
      </w:r>
      <w:r w:rsidR="000F7ECD" w:rsidRPr="00F87467">
        <w:rPr>
          <w:rFonts w:ascii="Times New Roman" w:hAnsi="Times New Roman" w:cs="Times New Roman"/>
          <w:sz w:val="24"/>
          <w:szCs w:val="24"/>
        </w:rPr>
        <w:t xml:space="preserve">is </w:t>
      </w:r>
      <w:r w:rsidR="00CB43DF" w:rsidRPr="00F87467">
        <w:rPr>
          <w:rFonts w:ascii="Times New Roman" w:hAnsi="Times New Roman" w:cs="Times New Roman"/>
          <w:sz w:val="24"/>
          <w:szCs w:val="24"/>
        </w:rPr>
        <w:t xml:space="preserve">affixed only to products to which its affixing is provided for by specific </w:t>
      </w:r>
      <w:r w:rsidR="000F7ECD" w:rsidRPr="00F87467">
        <w:rPr>
          <w:rFonts w:ascii="Times New Roman" w:hAnsi="Times New Roman" w:cs="Times New Roman"/>
          <w:sz w:val="24"/>
          <w:szCs w:val="24"/>
        </w:rPr>
        <w:t xml:space="preserve">EU </w:t>
      </w:r>
      <w:r w:rsidR="00CB43DF" w:rsidRPr="00F87467">
        <w:rPr>
          <w:rFonts w:ascii="Times New Roman" w:hAnsi="Times New Roman" w:cs="Times New Roman"/>
          <w:sz w:val="24"/>
          <w:szCs w:val="24"/>
        </w:rPr>
        <w:t xml:space="preserve">harmonisation legislation, and </w:t>
      </w:r>
      <w:r w:rsidR="000F7ECD" w:rsidRPr="00F87467">
        <w:rPr>
          <w:rFonts w:ascii="Times New Roman" w:hAnsi="Times New Roman" w:cs="Times New Roman"/>
          <w:sz w:val="24"/>
          <w:szCs w:val="24"/>
        </w:rPr>
        <w:t xml:space="preserve">must </w:t>
      </w:r>
      <w:r w:rsidR="00CB43DF" w:rsidRPr="00F87467">
        <w:rPr>
          <w:rFonts w:ascii="Times New Roman" w:hAnsi="Times New Roman" w:cs="Times New Roman"/>
          <w:sz w:val="24"/>
          <w:szCs w:val="24"/>
        </w:rPr>
        <w:t xml:space="preserve">not be affixed to any other product. </w:t>
      </w:r>
      <w:r w:rsidRPr="00F87467">
        <w:rPr>
          <w:rFonts w:ascii="Times New Roman" w:hAnsi="Times New Roman" w:cs="Times New Roman"/>
          <w:sz w:val="24"/>
          <w:szCs w:val="24"/>
        </w:rPr>
        <w:t xml:space="preserve">In other words, </w:t>
      </w:r>
      <w:r w:rsidR="00CB43DF" w:rsidRPr="00F87467">
        <w:rPr>
          <w:rFonts w:ascii="Times New Roman" w:hAnsi="Times New Roman" w:cs="Times New Roman"/>
          <w:sz w:val="24"/>
          <w:szCs w:val="24"/>
        </w:rPr>
        <w:t xml:space="preserve">fertilising products must not be </w:t>
      </w:r>
      <w:r w:rsidRPr="00F87467">
        <w:rPr>
          <w:rFonts w:ascii="Times New Roman" w:hAnsi="Times New Roman" w:cs="Times New Roman"/>
          <w:sz w:val="24"/>
          <w:szCs w:val="24"/>
        </w:rPr>
        <w:t>CE mark</w:t>
      </w:r>
      <w:r w:rsidR="00CB43DF" w:rsidRPr="00F87467">
        <w:rPr>
          <w:rFonts w:ascii="Times New Roman" w:hAnsi="Times New Roman" w:cs="Times New Roman"/>
          <w:sz w:val="24"/>
          <w:szCs w:val="24"/>
        </w:rPr>
        <w:t xml:space="preserve">ed </w:t>
      </w:r>
      <w:r w:rsidRPr="00F87467">
        <w:rPr>
          <w:rFonts w:ascii="Times New Roman" w:hAnsi="Times New Roman" w:cs="Times New Roman"/>
          <w:sz w:val="24"/>
          <w:szCs w:val="24"/>
        </w:rPr>
        <w:t xml:space="preserve">as long as no provision in </w:t>
      </w:r>
      <w:r w:rsidR="003E521A" w:rsidRPr="00F87467">
        <w:rPr>
          <w:rFonts w:ascii="Times New Roman" w:hAnsi="Times New Roman" w:cs="Times New Roman"/>
          <w:sz w:val="24"/>
          <w:szCs w:val="24"/>
        </w:rPr>
        <w:t xml:space="preserve">the </w:t>
      </w:r>
      <w:hyperlink r:id="rId70"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providing for </w:t>
      </w:r>
      <w:r w:rsidR="00CB43DF" w:rsidRPr="00F87467">
        <w:rPr>
          <w:rFonts w:ascii="Times New Roman" w:hAnsi="Times New Roman" w:cs="Times New Roman"/>
          <w:sz w:val="24"/>
          <w:szCs w:val="24"/>
        </w:rPr>
        <w:t>that</w:t>
      </w:r>
      <w:r w:rsidR="003E521A" w:rsidRPr="00F87467">
        <w:rPr>
          <w:rFonts w:ascii="Times New Roman" w:hAnsi="Times New Roman" w:cs="Times New Roman"/>
          <w:sz w:val="24"/>
          <w:szCs w:val="24"/>
        </w:rPr>
        <w:t xml:space="preserve"> is yet applicable</w:t>
      </w:r>
      <w:r w:rsidRPr="00F87467">
        <w:rPr>
          <w:rFonts w:ascii="Times New Roman" w:hAnsi="Times New Roman" w:cs="Times New Roman"/>
          <w:sz w:val="24"/>
          <w:szCs w:val="24"/>
        </w:rPr>
        <w:t xml:space="preserve">. The provision in </w:t>
      </w:r>
      <w:r w:rsidR="003E521A" w:rsidRPr="00F87467">
        <w:rPr>
          <w:rFonts w:ascii="Times New Roman" w:hAnsi="Times New Roman" w:cs="Times New Roman"/>
          <w:sz w:val="24"/>
          <w:szCs w:val="24"/>
        </w:rPr>
        <w:t xml:space="preserve">the </w:t>
      </w:r>
      <w:hyperlink r:id="rId71"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providing for affixing the CE marking is Article 18. </w:t>
      </w:r>
      <w:r w:rsidR="002566B9" w:rsidRPr="00F87467">
        <w:rPr>
          <w:rFonts w:ascii="Times New Roman" w:hAnsi="Times New Roman" w:cs="Times New Roman"/>
          <w:sz w:val="24"/>
          <w:szCs w:val="24"/>
        </w:rPr>
        <w:t>However, as follows from Article 53 of</w:t>
      </w:r>
      <w:r w:rsidR="003E521A" w:rsidRPr="00F87467">
        <w:rPr>
          <w:rFonts w:ascii="Times New Roman" w:hAnsi="Times New Roman" w:cs="Times New Roman"/>
          <w:sz w:val="24"/>
          <w:szCs w:val="24"/>
        </w:rPr>
        <w:t xml:space="preserve"> the</w:t>
      </w:r>
      <w:r w:rsidR="002566B9" w:rsidRPr="00F87467">
        <w:rPr>
          <w:rFonts w:ascii="Times New Roman" w:hAnsi="Times New Roman" w:cs="Times New Roman"/>
          <w:sz w:val="24"/>
          <w:szCs w:val="24"/>
        </w:rPr>
        <w:t xml:space="preserve"> </w:t>
      </w:r>
      <w:hyperlink r:id="rId72" w:history="1">
        <w:r w:rsidR="002566B9" w:rsidRPr="00D53265">
          <w:rPr>
            <w:rStyle w:val="Hyperlink"/>
            <w:rFonts w:ascii="Times New Roman" w:hAnsi="Times New Roman" w:cs="Times New Roman"/>
            <w:sz w:val="24"/>
            <w:szCs w:val="24"/>
          </w:rPr>
          <w:t>FPR</w:t>
        </w:r>
      </w:hyperlink>
      <w:r w:rsidR="002566B9" w:rsidRPr="00F87467">
        <w:rPr>
          <w:rFonts w:ascii="Times New Roman" w:hAnsi="Times New Roman" w:cs="Times New Roman"/>
          <w:sz w:val="24"/>
          <w:szCs w:val="24"/>
        </w:rPr>
        <w:t>, Article 18 is not applicable before 16 July 2022. Therefore, the CE marking must not be affixed to a fertilising product</w:t>
      </w:r>
      <w:r w:rsidR="001A371E" w:rsidRPr="00F87467">
        <w:rPr>
          <w:rFonts w:ascii="Times New Roman" w:hAnsi="Times New Roman" w:cs="Times New Roman"/>
          <w:sz w:val="24"/>
          <w:szCs w:val="24"/>
        </w:rPr>
        <w:t xml:space="preserve"> made available on the market before 16 July 2022</w:t>
      </w:r>
      <w:r w:rsidR="002566B9" w:rsidRPr="00F87467">
        <w:rPr>
          <w:rFonts w:ascii="Times New Roman" w:hAnsi="Times New Roman" w:cs="Times New Roman"/>
          <w:sz w:val="24"/>
          <w:szCs w:val="24"/>
        </w:rPr>
        <w:t xml:space="preserve">. Since fertilising products made available </w:t>
      </w:r>
      <w:r w:rsidR="00C52FCF" w:rsidRPr="00F87467">
        <w:rPr>
          <w:rFonts w:ascii="Times New Roman" w:hAnsi="Times New Roman" w:cs="Times New Roman"/>
          <w:sz w:val="24"/>
          <w:szCs w:val="24"/>
        </w:rPr>
        <w:t xml:space="preserve">on the market at </w:t>
      </w:r>
      <w:r w:rsidR="002566B9" w:rsidRPr="00F87467">
        <w:rPr>
          <w:rFonts w:ascii="Times New Roman" w:hAnsi="Times New Roman" w:cs="Times New Roman"/>
          <w:sz w:val="24"/>
          <w:szCs w:val="24"/>
        </w:rPr>
        <w:t>any given point in time before 16 July 2022 can</w:t>
      </w:r>
      <w:r w:rsidR="00325D05" w:rsidRPr="00F87467">
        <w:rPr>
          <w:rFonts w:ascii="Times New Roman" w:hAnsi="Times New Roman" w:cs="Times New Roman"/>
          <w:sz w:val="24"/>
          <w:szCs w:val="24"/>
        </w:rPr>
        <w:t xml:space="preserve"> thus </w:t>
      </w:r>
      <w:r w:rsidR="002566B9" w:rsidRPr="00F87467">
        <w:rPr>
          <w:rFonts w:ascii="Times New Roman" w:hAnsi="Times New Roman" w:cs="Times New Roman"/>
          <w:sz w:val="24"/>
          <w:szCs w:val="24"/>
        </w:rPr>
        <w:t xml:space="preserve">not be CE marked at that point in time, they do not qualify as EU fertilising products at that point in time. At that point in time, they therefore fall entirely out of the scope of </w:t>
      </w:r>
      <w:r w:rsidR="003E521A" w:rsidRPr="00F87467">
        <w:rPr>
          <w:rFonts w:ascii="Times New Roman" w:hAnsi="Times New Roman" w:cs="Times New Roman"/>
          <w:sz w:val="24"/>
          <w:szCs w:val="24"/>
        </w:rPr>
        <w:t xml:space="preserve">the </w:t>
      </w:r>
      <w:hyperlink r:id="rId73" w:history="1">
        <w:r w:rsidR="002566B9" w:rsidRPr="00D53265">
          <w:rPr>
            <w:rStyle w:val="Hyperlink"/>
            <w:rFonts w:ascii="Times New Roman" w:hAnsi="Times New Roman" w:cs="Times New Roman"/>
            <w:sz w:val="24"/>
            <w:szCs w:val="24"/>
          </w:rPr>
          <w:t>FPR</w:t>
        </w:r>
      </w:hyperlink>
      <w:r w:rsidR="002566B9" w:rsidRPr="00F87467">
        <w:rPr>
          <w:rFonts w:ascii="Times New Roman" w:hAnsi="Times New Roman" w:cs="Times New Roman"/>
          <w:sz w:val="24"/>
          <w:szCs w:val="24"/>
        </w:rPr>
        <w:t>.</w:t>
      </w:r>
    </w:p>
    <w:p w14:paraId="543B2574" w14:textId="77777777" w:rsidR="00C261E2" w:rsidRPr="00F87467" w:rsidRDefault="00C261E2" w:rsidP="00F87467">
      <w:pPr>
        <w:tabs>
          <w:tab w:val="left" w:pos="426"/>
        </w:tabs>
        <w:spacing w:before="60" w:after="60"/>
        <w:jc w:val="both"/>
        <w:rPr>
          <w:rFonts w:ascii="Times New Roman" w:hAnsi="Times New Roman" w:cs="Times New Roman"/>
          <w:sz w:val="24"/>
          <w:szCs w:val="24"/>
        </w:rPr>
      </w:pPr>
    </w:p>
    <w:p w14:paraId="565CC134" w14:textId="01E589D7" w:rsidR="00AE2609" w:rsidRPr="00F87467" w:rsidRDefault="00AE2609" w:rsidP="00E717A1">
      <w:pPr>
        <w:pStyle w:val="Heading1"/>
        <w:numPr>
          <w:ilvl w:val="0"/>
          <w:numId w:val="3"/>
        </w:numPr>
        <w:tabs>
          <w:tab w:val="left" w:pos="426"/>
        </w:tabs>
        <w:spacing w:before="60" w:after="60"/>
        <w:ind w:left="0" w:firstLine="0"/>
        <w:jc w:val="both"/>
        <w:rPr>
          <w:rFonts w:ascii="Times New Roman" w:hAnsi="Times New Roman" w:cs="Times New Roman"/>
          <w:sz w:val="24"/>
          <w:szCs w:val="24"/>
        </w:rPr>
      </w:pPr>
      <w:bookmarkStart w:id="36" w:name="_Toc59185397"/>
      <w:r w:rsidRPr="00F87467">
        <w:rPr>
          <w:rFonts w:ascii="Times New Roman" w:hAnsi="Times New Roman" w:cs="Times New Roman"/>
          <w:sz w:val="24"/>
          <w:szCs w:val="24"/>
        </w:rPr>
        <w:t>Annex I</w:t>
      </w:r>
      <w:r w:rsidR="00E50F66" w:rsidRPr="00F87467">
        <w:rPr>
          <w:rFonts w:ascii="Times New Roman" w:hAnsi="Times New Roman" w:cs="Times New Roman"/>
          <w:sz w:val="24"/>
          <w:szCs w:val="24"/>
        </w:rPr>
        <w:t xml:space="preserve"> </w:t>
      </w:r>
      <w:r w:rsidR="003461FF" w:rsidRPr="00F87467">
        <w:rPr>
          <w:rFonts w:ascii="Times New Roman" w:hAnsi="Times New Roman" w:cs="Times New Roman"/>
          <w:sz w:val="24"/>
          <w:szCs w:val="24"/>
        </w:rPr>
        <w:t>– Product Function Category (PFC)</w:t>
      </w:r>
      <w:bookmarkEnd w:id="36"/>
    </w:p>
    <w:p w14:paraId="5A8457CF" w14:textId="394F45D0" w:rsidR="000F5690" w:rsidRPr="00F87467" w:rsidRDefault="000F5690" w:rsidP="00F87467">
      <w:pPr>
        <w:pStyle w:val="Heading2"/>
        <w:spacing w:before="60" w:after="60" w:line="276" w:lineRule="auto"/>
        <w:rPr>
          <w:rFonts w:eastAsiaTheme="minorHAnsi"/>
        </w:rPr>
      </w:pPr>
      <w:bookmarkStart w:id="37" w:name="_Toc59185398"/>
      <w:r w:rsidRPr="00F87467">
        <w:rPr>
          <w:rFonts w:eastAsiaTheme="minorHAnsi"/>
        </w:rPr>
        <w:t>What is the function of an EU fertilising product?</w:t>
      </w:r>
      <w:bookmarkEnd w:id="37"/>
    </w:p>
    <w:p w14:paraId="48C4C414" w14:textId="4BD5CA31" w:rsidR="000F5690" w:rsidRPr="00F87467" w:rsidRDefault="009B7EC5" w:rsidP="00F87467">
      <w:pPr>
        <w:spacing w:before="60" w:after="60"/>
        <w:jc w:val="both"/>
        <w:rPr>
          <w:rFonts w:ascii="Times New Roman" w:hAnsi="Times New Roman" w:cs="Times New Roman"/>
          <w:sz w:val="24"/>
          <w:szCs w:val="24"/>
          <w:lang w:eastAsia="de-DE"/>
        </w:rPr>
      </w:pPr>
      <w:r>
        <w:rPr>
          <w:rFonts w:ascii="Times New Roman" w:hAnsi="Times New Roman" w:cs="Times New Roman"/>
          <w:sz w:val="24"/>
          <w:szCs w:val="24"/>
          <w:lang w:eastAsia="de-DE"/>
        </w:rPr>
        <w:lastRenderedPageBreak/>
        <w:t>Any EU fertilising product may belong to</w:t>
      </w:r>
      <w:r w:rsidR="000F5690" w:rsidRPr="00F87467">
        <w:rPr>
          <w:rFonts w:ascii="Times New Roman" w:hAnsi="Times New Roman" w:cs="Times New Roman"/>
          <w:sz w:val="24"/>
          <w:szCs w:val="24"/>
          <w:lang w:eastAsia="de-DE"/>
        </w:rPr>
        <w:t xml:space="preserve"> one of the </w:t>
      </w:r>
      <w:r>
        <w:rPr>
          <w:rFonts w:ascii="Times New Roman" w:hAnsi="Times New Roman" w:cs="Times New Roman"/>
          <w:sz w:val="24"/>
          <w:szCs w:val="24"/>
          <w:lang w:eastAsia="de-DE"/>
        </w:rPr>
        <w:t xml:space="preserve">product </w:t>
      </w:r>
      <w:r w:rsidR="000F5690" w:rsidRPr="00F87467">
        <w:rPr>
          <w:rFonts w:ascii="Times New Roman" w:hAnsi="Times New Roman" w:cs="Times New Roman"/>
          <w:sz w:val="24"/>
          <w:szCs w:val="24"/>
          <w:lang w:eastAsia="de-DE"/>
        </w:rPr>
        <w:t>function</w:t>
      </w:r>
      <w:r>
        <w:rPr>
          <w:rFonts w:ascii="Times New Roman" w:hAnsi="Times New Roman" w:cs="Times New Roman"/>
          <w:sz w:val="24"/>
          <w:szCs w:val="24"/>
          <w:lang w:eastAsia="de-DE"/>
        </w:rPr>
        <w:t xml:space="preserve"> categories</w:t>
      </w:r>
      <w:r w:rsidR="000F5690" w:rsidRPr="00F87467">
        <w:rPr>
          <w:rFonts w:ascii="Times New Roman" w:hAnsi="Times New Roman" w:cs="Times New Roman"/>
          <w:sz w:val="24"/>
          <w:szCs w:val="24"/>
          <w:lang w:eastAsia="de-DE"/>
        </w:rPr>
        <w:t xml:space="preserve"> predefined in the </w:t>
      </w:r>
      <w:hyperlink r:id="rId74" w:history="1">
        <w:r w:rsidR="008B5B17" w:rsidRPr="00D53265">
          <w:rPr>
            <w:rStyle w:val="Hyperlink"/>
            <w:rFonts w:ascii="Times New Roman" w:hAnsi="Times New Roman" w:cs="Times New Roman"/>
            <w:sz w:val="24"/>
            <w:szCs w:val="24"/>
            <w:lang w:eastAsia="de-DE"/>
          </w:rPr>
          <w:t>FPR</w:t>
        </w:r>
      </w:hyperlink>
      <w:r w:rsidR="000F5690" w:rsidRPr="00F87467">
        <w:rPr>
          <w:rFonts w:ascii="Times New Roman" w:hAnsi="Times New Roman" w:cs="Times New Roman"/>
          <w:sz w:val="24"/>
          <w:szCs w:val="24"/>
          <w:lang w:eastAsia="de-DE"/>
        </w:rPr>
        <w:t xml:space="preserve">.  </w:t>
      </w:r>
    </w:p>
    <w:p w14:paraId="6B604BD1" w14:textId="2FF945E1" w:rsidR="000F5690" w:rsidRPr="00F87467" w:rsidRDefault="000F5690" w:rsidP="00F87467">
      <w:pPr>
        <w:spacing w:before="60" w:after="60"/>
        <w:jc w:val="both"/>
        <w:rPr>
          <w:rFonts w:ascii="Times New Roman" w:hAnsi="Times New Roman" w:cs="Times New Roman"/>
          <w:sz w:val="24"/>
          <w:szCs w:val="24"/>
          <w:lang w:eastAsia="de-DE"/>
        </w:rPr>
      </w:pPr>
      <w:r w:rsidRPr="00F87467">
        <w:rPr>
          <w:rFonts w:ascii="Times New Roman" w:hAnsi="Times New Roman" w:cs="Times New Roman"/>
          <w:sz w:val="24"/>
          <w:szCs w:val="24"/>
          <w:lang w:eastAsia="de-DE"/>
        </w:rPr>
        <w:t xml:space="preserve">The Regulation </w:t>
      </w:r>
      <w:r w:rsidR="008B5B17" w:rsidRPr="00F87467">
        <w:rPr>
          <w:rFonts w:ascii="Times New Roman" w:hAnsi="Times New Roman" w:cs="Times New Roman"/>
          <w:sz w:val="24"/>
          <w:szCs w:val="24"/>
          <w:lang w:eastAsia="de-DE"/>
        </w:rPr>
        <w:t>lists</w:t>
      </w:r>
      <w:r w:rsidRPr="00F87467">
        <w:rPr>
          <w:rFonts w:ascii="Times New Roman" w:hAnsi="Times New Roman" w:cs="Times New Roman"/>
          <w:sz w:val="24"/>
          <w:szCs w:val="24"/>
          <w:lang w:eastAsia="de-DE"/>
        </w:rPr>
        <w:t xml:space="preserve"> the following product function categories: </w:t>
      </w:r>
    </w:p>
    <w:p w14:paraId="7238D5AF" w14:textId="6506682B" w:rsidR="008B5B17" w:rsidRPr="00F87467" w:rsidRDefault="008B5B17" w:rsidP="00E717A1">
      <w:pPr>
        <w:pStyle w:val="ListParagraph"/>
        <w:numPr>
          <w:ilvl w:val="0"/>
          <w:numId w:val="10"/>
        </w:numPr>
        <w:spacing w:before="60" w:after="60" w:line="276" w:lineRule="auto"/>
        <w:jc w:val="both"/>
        <w:rPr>
          <w:szCs w:val="24"/>
          <w:lang w:val="en-GB"/>
        </w:rPr>
      </w:pPr>
      <w:r w:rsidRPr="00F87467">
        <w:rPr>
          <w:szCs w:val="24"/>
          <w:lang w:val="en-GB"/>
        </w:rPr>
        <w:t>f</w:t>
      </w:r>
      <w:r w:rsidR="000F5690" w:rsidRPr="00F87467">
        <w:rPr>
          <w:szCs w:val="24"/>
          <w:lang w:val="en-GB"/>
        </w:rPr>
        <w:t>ertiliser, the function of which is to provide n</w:t>
      </w:r>
      <w:r w:rsidRPr="00F87467">
        <w:rPr>
          <w:szCs w:val="24"/>
          <w:lang w:val="en-GB"/>
        </w:rPr>
        <w:t>utrients to plants or mushrooms</w:t>
      </w:r>
      <w:r w:rsidR="000F5690" w:rsidRPr="00F87467">
        <w:rPr>
          <w:szCs w:val="24"/>
          <w:lang w:val="en-GB"/>
        </w:rPr>
        <w:t xml:space="preserve"> </w:t>
      </w:r>
    </w:p>
    <w:p w14:paraId="658F0D8F" w14:textId="77777777" w:rsidR="008B5B17" w:rsidRPr="00F87467" w:rsidRDefault="008B5B17" w:rsidP="00E717A1">
      <w:pPr>
        <w:pStyle w:val="ListParagraph"/>
        <w:numPr>
          <w:ilvl w:val="0"/>
          <w:numId w:val="10"/>
        </w:numPr>
        <w:spacing w:before="60" w:after="60" w:line="276" w:lineRule="auto"/>
        <w:jc w:val="both"/>
        <w:rPr>
          <w:szCs w:val="24"/>
          <w:lang w:val="en-GB"/>
        </w:rPr>
      </w:pPr>
      <w:r w:rsidRPr="00F87467">
        <w:rPr>
          <w:szCs w:val="24"/>
          <w:lang w:val="en-GB"/>
        </w:rPr>
        <w:t>l</w:t>
      </w:r>
      <w:r w:rsidR="000F5690" w:rsidRPr="00F87467">
        <w:rPr>
          <w:szCs w:val="24"/>
          <w:lang w:val="en-GB"/>
        </w:rPr>
        <w:t>iming material, the function of w</w:t>
      </w:r>
      <w:r w:rsidRPr="00F87467">
        <w:rPr>
          <w:szCs w:val="24"/>
          <w:lang w:val="en-GB"/>
        </w:rPr>
        <w:t>hich is to correct soil acidity</w:t>
      </w:r>
      <w:r w:rsidR="000F5690" w:rsidRPr="00F87467">
        <w:rPr>
          <w:szCs w:val="24"/>
          <w:lang w:val="en-GB"/>
        </w:rPr>
        <w:t xml:space="preserve"> </w:t>
      </w:r>
    </w:p>
    <w:p w14:paraId="220EC0AA" w14:textId="77777777" w:rsidR="008B5B17" w:rsidRPr="00F87467" w:rsidRDefault="008B5B17" w:rsidP="00E717A1">
      <w:pPr>
        <w:pStyle w:val="ListParagraph"/>
        <w:numPr>
          <w:ilvl w:val="0"/>
          <w:numId w:val="10"/>
        </w:numPr>
        <w:spacing w:before="60" w:after="60" w:line="276" w:lineRule="auto"/>
        <w:jc w:val="both"/>
        <w:rPr>
          <w:szCs w:val="24"/>
          <w:lang w:val="en-GB"/>
        </w:rPr>
      </w:pPr>
      <w:r w:rsidRPr="00F87467">
        <w:rPr>
          <w:szCs w:val="24"/>
          <w:lang w:val="en-GB"/>
        </w:rPr>
        <w:t>s</w:t>
      </w:r>
      <w:r w:rsidR="000F5690" w:rsidRPr="00F87467">
        <w:rPr>
          <w:szCs w:val="24"/>
          <w:lang w:val="en-GB"/>
        </w:rPr>
        <w:t>oil improver, the function of which is to maintain, improve or protect the properties o</w:t>
      </w:r>
      <w:r w:rsidRPr="00F87467">
        <w:rPr>
          <w:szCs w:val="24"/>
          <w:lang w:val="en-GB"/>
        </w:rPr>
        <w:t xml:space="preserve">f the soil </w:t>
      </w:r>
    </w:p>
    <w:p w14:paraId="63A9E53E" w14:textId="77777777" w:rsidR="008B5B17" w:rsidRPr="00F87467" w:rsidRDefault="008B5B17" w:rsidP="00E717A1">
      <w:pPr>
        <w:pStyle w:val="ListParagraph"/>
        <w:numPr>
          <w:ilvl w:val="0"/>
          <w:numId w:val="10"/>
        </w:numPr>
        <w:spacing w:before="60" w:after="60" w:line="276" w:lineRule="auto"/>
        <w:jc w:val="both"/>
        <w:rPr>
          <w:szCs w:val="24"/>
          <w:lang w:val="en-GB"/>
        </w:rPr>
      </w:pPr>
      <w:r w:rsidRPr="00F87467">
        <w:rPr>
          <w:szCs w:val="24"/>
          <w:lang w:val="en-GB"/>
        </w:rPr>
        <w:t>g</w:t>
      </w:r>
      <w:r w:rsidR="000F5690" w:rsidRPr="00F87467">
        <w:rPr>
          <w:szCs w:val="24"/>
          <w:lang w:val="en-GB"/>
        </w:rPr>
        <w:t xml:space="preserve">rowing medium, the function of which is to provide a material other than soil in situ for plants or mushrooms to grow in </w:t>
      </w:r>
    </w:p>
    <w:p w14:paraId="332891FE" w14:textId="2EE04F4A" w:rsidR="008B5B17" w:rsidRPr="00F87467" w:rsidRDefault="008B5B17" w:rsidP="00E717A1">
      <w:pPr>
        <w:pStyle w:val="ListParagraph"/>
        <w:numPr>
          <w:ilvl w:val="0"/>
          <w:numId w:val="10"/>
        </w:numPr>
        <w:spacing w:before="60" w:after="60" w:line="276" w:lineRule="auto"/>
        <w:jc w:val="both"/>
        <w:rPr>
          <w:szCs w:val="24"/>
          <w:lang w:val="en-GB"/>
        </w:rPr>
      </w:pPr>
      <w:r w:rsidRPr="00F87467">
        <w:rPr>
          <w:szCs w:val="24"/>
          <w:lang w:val="en-GB"/>
        </w:rPr>
        <w:t>i</w:t>
      </w:r>
      <w:r w:rsidR="000F5690" w:rsidRPr="00F87467">
        <w:rPr>
          <w:szCs w:val="24"/>
          <w:lang w:val="en-GB"/>
        </w:rPr>
        <w:t>nhibitor, the function of which is to improve the nutrient release patterns of a fertiliser by delaying or stopping the activity of specific group</w:t>
      </w:r>
      <w:r w:rsidRPr="00F87467">
        <w:rPr>
          <w:szCs w:val="24"/>
          <w:lang w:val="en-GB"/>
        </w:rPr>
        <w:t>s of micro-organisms or enzymes</w:t>
      </w:r>
      <w:r w:rsidR="000F5690" w:rsidRPr="00F87467">
        <w:rPr>
          <w:szCs w:val="24"/>
          <w:lang w:val="en-GB"/>
        </w:rPr>
        <w:t xml:space="preserve"> </w:t>
      </w:r>
    </w:p>
    <w:p w14:paraId="5FCA3469" w14:textId="77777777" w:rsidR="008B5B17" w:rsidRPr="00F87467" w:rsidRDefault="008B5B17" w:rsidP="00E717A1">
      <w:pPr>
        <w:pStyle w:val="ListParagraph"/>
        <w:numPr>
          <w:ilvl w:val="0"/>
          <w:numId w:val="10"/>
        </w:numPr>
        <w:spacing w:before="60" w:after="60" w:line="276" w:lineRule="auto"/>
        <w:jc w:val="both"/>
        <w:rPr>
          <w:szCs w:val="24"/>
          <w:lang w:val="en-GB"/>
        </w:rPr>
      </w:pPr>
      <w:r w:rsidRPr="00F87467">
        <w:rPr>
          <w:szCs w:val="24"/>
          <w:lang w:val="en-GB"/>
        </w:rPr>
        <w:t>p</w:t>
      </w:r>
      <w:r w:rsidR="000F5690" w:rsidRPr="00F87467">
        <w:rPr>
          <w:szCs w:val="24"/>
          <w:lang w:val="en-GB"/>
        </w:rPr>
        <w:t>lant biostimulants, the function of which is to stimulate plant nutrition processes independently of the product's nutrient content with the sole aim of improving nutrient use efficiency, tolerance to abiotic stress, quality traits and/or availability of confined nutri</w:t>
      </w:r>
      <w:r w:rsidRPr="00F87467">
        <w:rPr>
          <w:szCs w:val="24"/>
          <w:lang w:val="en-GB"/>
        </w:rPr>
        <w:t>ents in the soil or rhizosphere</w:t>
      </w:r>
      <w:r w:rsidR="000F5690" w:rsidRPr="00F87467">
        <w:rPr>
          <w:szCs w:val="24"/>
          <w:lang w:val="en-GB"/>
        </w:rPr>
        <w:t xml:space="preserve"> </w:t>
      </w:r>
    </w:p>
    <w:p w14:paraId="67AAE3AB" w14:textId="63BAA2EC" w:rsidR="000F5690" w:rsidRPr="00F87467" w:rsidRDefault="008B5B17" w:rsidP="00E717A1">
      <w:pPr>
        <w:pStyle w:val="ListParagraph"/>
        <w:numPr>
          <w:ilvl w:val="0"/>
          <w:numId w:val="10"/>
        </w:numPr>
        <w:spacing w:before="60" w:after="60" w:line="276" w:lineRule="auto"/>
        <w:jc w:val="both"/>
        <w:rPr>
          <w:szCs w:val="24"/>
          <w:lang w:val="en-GB"/>
        </w:rPr>
      </w:pPr>
      <w:r w:rsidRPr="00F87467">
        <w:rPr>
          <w:szCs w:val="24"/>
          <w:lang w:val="en-GB"/>
        </w:rPr>
        <w:t>f</w:t>
      </w:r>
      <w:r w:rsidR="000F5690" w:rsidRPr="00F87467">
        <w:rPr>
          <w:szCs w:val="24"/>
          <w:lang w:val="en-GB"/>
        </w:rPr>
        <w:t xml:space="preserve">ertilising product blend, which is composed of two or more EU fertilising products belonging to </w:t>
      </w:r>
      <w:r w:rsidR="00DA6FE5">
        <w:rPr>
          <w:szCs w:val="24"/>
          <w:lang w:val="en-GB"/>
        </w:rPr>
        <w:t xml:space="preserve">one or more of </w:t>
      </w:r>
      <w:r w:rsidR="000F5690" w:rsidRPr="00F87467">
        <w:rPr>
          <w:szCs w:val="24"/>
          <w:lang w:val="en-GB"/>
        </w:rPr>
        <w:t xml:space="preserve">the function </w:t>
      </w:r>
      <w:r w:rsidR="00DA6FE5">
        <w:rPr>
          <w:szCs w:val="24"/>
          <w:lang w:val="en-GB"/>
        </w:rPr>
        <w:t xml:space="preserve">categories </w:t>
      </w:r>
      <w:r w:rsidR="000F5690" w:rsidRPr="00F87467">
        <w:rPr>
          <w:szCs w:val="24"/>
          <w:lang w:val="en-GB"/>
        </w:rPr>
        <w:t xml:space="preserve">mentioned before. </w:t>
      </w:r>
    </w:p>
    <w:p w14:paraId="21ED0EDC" w14:textId="566EE19D" w:rsidR="000F5690" w:rsidRPr="00F87467" w:rsidRDefault="000F5690" w:rsidP="00F87467">
      <w:pPr>
        <w:spacing w:before="60" w:after="60"/>
        <w:jc w:val="both"/>
        <w:rPr>
          <w:rFonts w:ascii="Times New Roman" w:hAnsi="Times New Roman" w:cs="Times New Roman"/>
          <w:sz w:val="24"/>
          <w:szCs w:val="24"/>
          <w:lang w:eastAsia="de-DE"/>
        </w:rPr>
      </w:pPr>
      <w:r w:rsidRPr="00F87467">
        <w:rPr>
          <w:rFonts w:ascii="Times New Roman" w:hAnsi="Times New Roman" w:cs="Times New Roman"/>
          <w:sz w:val="24"/>
          <w:szCs w:val="24"/>
          <w:lang w:eastAsia="de-DE"/>
        </w:rPr>
        <w:t xml:space="preserve">EU fertilising products are subject to different safety and quality requirements depending on the </w:t>
      </w:r>
      <w:r w:rsidRPr="002C01CD">
        <w:rPr>
          <w:rFonts w:ascii="Times New Roman" w:hAnsi="Times New Roman" w:cs="Times New Roman"/>
          <w:sz w:val="24"/>
          <w:szCs w:val="24"/>
          <w:lang w:eastAsia="de-DE"/>
        </w:rPr>
        <w:t>function</w:t>
      </w:r>
      <w:r w:rsidR="004232DF" w:rsidRPr="002C01CD">
        <w:rPr>
          <w:rFonts w:ascii="Times New Roman" w:hAnsi="Times New Roman" w:cs="Times New Roman"/>
          <w:sz w:val="24"/>
          <w:szCs w:val="24"/>
          <w:lang w:eastAsia="de-DE"/>
        </w:rPr>
        <w:t>(s)</w:t>
      </w:r>
      <w:r w:rsidRPr="002C01CD">
        <w:rPr>
          <w:rFonts w:ascii="Times New Roman" w:hAnsi="Times New Roman" w:cs="Times New Roman"/>
          <w:sz w:val="24"/>
          <w:szCs w:val="24"/>
          <w:lang w:eastAsia="de-DE"/>
        </w:rPr>
        <w:t xml:space="preserve"> claimed</w:t>
      </w:r>
      <w:r w:rsidRPr="00F87467">
        <w:rPr>
          <w:rFonts w:ascii="Times New Roman" w:hAnsi="Times New Roman" w:cs="Times New Roman"/>
          <w:sz w:val="24"/>
          <w:szCs w:val="24"/>
          <w:lang w:eastAsia="de-DE"/>
        </w:rPr>
        <w:t xml:space="preserve"> by the manufacturer. </w:t>
      </w:r>
    </w:p>
    <w:p w14:paraId="1E5FCB71" w14:textId="03834B80" w:rsidR="000F5690" w:rsidRPr="00F87467" w:rsidRDefault="000F5690" w:rsidP="00F87467">
      <w:pPr>
        <w:spacing w:before="60" w:after="60"/>
        <w:jc w:val="both"/>
        <w:rPr>
          <w:rFonts w:ascii="Times New Roman" w:hAnsi="Times New Roman" w:cs="Times New Roman"/>
          <w:sz w:val="24"/>
          <w:szCs w:val="24"/>
          <w:lang w:eastAsia="de-DE"/>
        </w:rPr>
      </w:pPr>
      <w:r w:rsidRPr="00F87467">
        <w:rPr>
          <w:rFonts w:ascii="Times New Roman" w:hAnsi="Times New Roman" w:cs="Times New Roman"/>
          <w:sz w:val="24"/>
          <w:szCs w:val="24"/>
          <w:lang w:eastAsia="de-DE"/>
        </w:rPr>
        <w:t xml:space="preserve">For more details, see </w:t>
      </w:r>
      <w:r w:rsidR="00A010CB">
        <w:rPr>
          <w:rFonts w:ascii="Times New Roman" w:hAnsi="Times New Roman" w:cs="Times New Roman"/>
          <w:sz w:val="24"/>
          <w:szCs w:val="24"/>
          <w:lang w:eastAsia="de-DE"/>
        </w:rPr>
        <w:t xml:space="preserve">question 7.3 and </w:t>
      </w:r>
      <w:r w:rsidRPr="00F87467">
        <w:rPr>
          <w:rFonts w:ascii="Times New Roman" w:hAnsi="Times New Roman" w:cs="Times New Roman"/>
          <w:sz w:val="24"/>
          <w:szCs w:val="24"/>
          <w:lang w:eastAsia="de-DE"/>
        </w:rPr>
        <w:t xml:space="preserve">Annex I to the </w:t>
      </w:r>
      <w:hyperlink r:id="rId75" w:history="1">
        <w:r w:rsidR="008B5B17" w:rsidRPr="00D53265">
          <w:rPr>
            <w:rStyle w:val="Hyperlink"/>
            <w:rFonts w:ascii="Times New Roman" w:hAnsi="Times New Roman" w:cs="Times New Roman"/>
            <w:sz w:val="24"/>
            <w:szCs w:val="24"/>
            <w:lang w:eastAsia="de-DE"/>
          </w:rPr>
          <w:t>FPR</w:t>
        </w:r>
      </w:hyperlink>
      <w:r w:rsidRPr="00F87467">
        <w:rPr>
          <w:rFonts w:ascii="Times New Roman" w:hAnsi="Times New Roman" w:cs="Times New Roman"/>
          <w:sz w:val="24"/>
          <w:szCs w:val="24"/>
          <w:lang w:eastAsia="de-DE"/>
        </w:rPr>
        <w:t xml:space="preserve">.  </w:t>
      </w:r>
    </w:p>
    <w:p w14:paraId="23A53CBB" w14:textId="77777777" w:rsidR="000F5690" w:rsidRPr="00F87467" w:rsidRDefault="000F5690" w:rsidP="00F87467">
      <w:pPr>
        <w:spacing w:before="60" w:after="60"/>
        <w:jc w:val="both"/>
        <w:rPr>
          <w:rFonts w:ascii="Times New Roman" w:hAnsi="Times New Roman" w:cs="Times New Roman"/>
          <w:sz w:val="24"/>
          <w:szCs w:val="24"/>
        </w:rPr>
      </w:pPr>
    </w:p>
    <w:p w14:paraId="561E7FDB" w14:textId="09BC3C92" w:rsidR="00303239" w:rsidRPr="00F87467" w:rsidRDefault="00AE2609" w:rsidP="00F87467">
      <w:pPr>
        <w:pStyle w:val="Heading2"/>
        <w:spacing w:before="60" w:after="60" w:line="276" w:lineRule="auto"/>
        <w:rPr>
          <w:rFonts w:eastAsiaTheme="minorHAnsi"/>
        </w:rPr>
      </w:pPr>
      <w:r w:rsidRPr="00F87467">
        <w:rPr>
          <w:rFonts w:eastAsiaTheme="minorHAnsi"/>
        </w:rPr>
        <w:t xml:space="preserve"> </w:t>
      </w:r>
      <w:bookmarkStart w:id="38" w:name="_Toc59185399"/>
      <w:r w:rsidR="00303239" w:rsidRPr="00F87467">
        <w:rPr>
          <w:rFonts w:eastAsiaTheme="minorHAnsi"/>
        </w:rPr>
        <w:t xml:space="preserve">When a product could comply with different product function categories in the </w:t>
      </w:r>
      <w:r w:rsidR="005E0960" w:rsidRPr="00F87467">
        <w:rPr>
          <w:rFonts w:eastAsiaTheme="minorHAnsi"/>
        </w:rPr>
        <w:t>FPR</w:t>
      </w:r>
      <w:r w:rsidR="00303239" w:rsidRPr="00F87467">
        <w:rPr>
          <w:rFonts w:eastAsiaTheme="minorHAnsi"/>
        </w:rPr>
        <w:t>, is the manufacturer free to choose the product function for that EU fertilising product?</w:t>
      </w:r>
      <w:bookmarkEnd w:id="38"/>
    </w:p>
    <w:p w14:paraId="41C8B93F" w14:textId="0260FAE3" w:rsidR="00303239" w:rsidRDefault="00303239"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Yes. In case a product could comply with </w:t>
      </w:r>
      <w:r w:rsidR="00DD48AB" w:rsidRPr="00F87467">
        <w:rPr>
          <w:rFonts w:ascii="Times New Roman" w:hAnsi="Times New Roman" w:cs="Times New Roman"/>
          <w:sz w:val="24"/>
          <w:szCs w:val="24"/>
        </w:rPr>
        <w:t>the requirements of more tha</w:t>
      </w:r>
      <w:r w:rsidR="001E5555" w:rsidRPr="00F87467">
        <w:rPr>
          <w:rFonts w:ascii="Times New Roman" w:hAnsi="Times New Roman" w:cs="Times New Roman"/>
          <w:sz w:val="24"/>
          <w:szCs w:val="24"/>
        </w:rPr>
        <w:t>n</w:t>
      </w:r>
      <w:r w:rsidR="00DD48AB" w:rsidRPr="00F87467">
        <w:rPr>
          <w:rFonts w:ascii="Times New Roman" w:hAnsi="Times New Roman" w:cs="Times New Roman"/>
          <w:sz w:val="24"/>
          <w:szCs w:val="24"/>
        </w:rPr>
        <w:t xml:space="preserve"> one product function categories (PFCs) as set in</w:t>
      </w:r>
      <w:r w:rsidR="008B5B17" w:rsidRPr="00F87467">
        <w:rPr>
          <w:rFonts w:ascii="Times New Roman" w:hAnsi="Times New Roman" w:cs="Times New Roman"/>
          <w:sz w:val="24"/>
          <w:szCs w:val="24"/>
        </w:rPr>
        <w:t xml:space="preserve"> the</w:t>
      </w:r>
      <w:r w:rsidR="00DD48AB" w:rsidRPr="00F87467">
        <w:rPr>
          <w:rFonts w:ascii="Times New Roman" w:hAnsi="Times New Roman" w:cs="Times New Roman"/>
          <w:sz w:val="24"/>
          <w:szCs w:val="24"/>
        </w:rPr>
        <w:t xml:space="preserve"> </w:t>
      </w:r>
      <w:hyperlink r:id="rId76" w:history="1">
        <w:r w:rsidR="00DD48AB" w:rsidRPr="00D53265">
          <w:rPr>
            <w:rStyle w:val="Hyperlink"/>
            <w:rFonts w:ascii="Times New Roman" w:hAnsi="Times New Roman" w:cs="Times New Roman"/>
            <w:sz w:val="24"/>
            <w:szCs w:val="24"/>
          </w:rPr>
          <w:t>FPR</w:t>
        </w:r>
      </w:hyperlink>
      <w:r w:rsidR="00DD48AB" w:rsidRPr="00F87467">
        <w:rPr>
          <w:rFonts w:ascii="Times New Roman" w:hAnsi="Times New Roman" w:cs="Times New Roman"/>
          <w:sz w:val="24"/>
          <w:szCs w:val="24"/>
        </w:rPr>
        <w:t>, the manufacturer</w:t>
      </w:r>
      <w:r w:rsidR="008B5B17" w:rsidRPr="00F87467">
        <w:rPr>
          <w:rFonts w:ascii="Times New Roman" w:hAnsi="Times New Roman" w:cs="Times New Roman"/>
          <w:sz w:val="24"/>
          <w:szCs w:val="24"/>
        </w:rPr>
        <w:t>s</w:t>
      </w:r>
      <w:r w:rsidR="00DD48AB" w:rsidRPr="00F87467">
        <w:rPr>
          <w:rFonts w:ascii="Times New Roman" w:hAnsi="Times New Roman" w:cs="Times New Roman"/>
          <w:sz w:val="24"/>
          <w:szCs w:val="24"/>
        </w:rPr>
        <w:t xml:space="preserve"> </w:t>
      </w:r>
      <w:r w:rsidR="008B5B17" w:rsidRPr="00F87467">
        <w:rPr>
          <w:rFonts w:ascii="Times New Roman" w:hAnsi="Times New Roman" w:cs="Times New Roman"/>
          <w:sz w:val="24"/>
          <w:szCs w:val="24"/>
        </w:rPr>
        <w:t>are</w:t>
      </w:r>
      <w:r w:rsidR="00DD48AB" w:rsidRPr="00F87467">
        <w:rPr>
          <w:rFonts w:ascii="Times New Roman" w:hAnsi="Times New Roman" w:cs="Times New Roman"/>
          <w:sz w:val="24"/>
          <w:szCs w:val="24"/>
        </w:rPr>
        <w:t xml:space="preserve"> free to choose to claim </w:t>
      </w:r>
      <w:r w:rsidR="00A519DA" w:rsidRPr="00F87467">
        <w:rPr>
          <w:rFonts w:ascii="Times New Roman" w:hAnsi="Times New Roman" w:cs="Times New Roman"/>
          <w:sz w:val="24"/>
          <w:szCs w:val="24"/>
        </w:rPr>
        <w:t>the</w:t>
      </w:r>
      <w:r w:rsidR="00DD48AB" w:rsidRPr="00F87467">
        <w:rPr>
          <w:rFonts w:ascii="Times New Roman" w:hAnsi="Times New Roman" w:cs="Times New Roman"/>
          <w:sz w:val="24"/>
          <w:szCs w:val="24"/>
        </w:rPr>
        <w:t xml:space="preserve"> preferred PFC for </w:t>
      </w:r>
      <w:r w:rsidR="008B5B17" w:rsidRPr="00F87467">
        <w:rPr>
          <w:rFonts w:ascii="Times New Roman" w:hAnsi="Times New Roman" w:cs="Times New Roman"/>
          <w:sz w:val="24"/>
          <w:szCs w:val="24"/>
        </w:rPr>
        <w:t>their</w:t>
      </w:r>
      <w:r w:rsidR="00DD48AB" w:rsidRPr="00F87467">
        <w:rPr>
          <w:rFonts w:ascii="Times New Roman" w:hAnsi="Times New Roman" w:cs="Times New Roman"/>
          <w:sz w:val="24"/>
          <w:szCs w:val="24"/>
        </w:rPr>
        <w:t xml:space="preserve"> product. The manufacturer</w:t>
      </w:r>
      <w:r w:rsidR="008B5B17" w:rsidRPr="00F87467">
        <w:rPr>
          <w:rFonts w:ascii="Times New Roman" w:hAnsi="Times New Roman" w:cs="Times New Roman"/>
          <w:sz w:val="24"/>
          <w:szCs w:val="24"/>
        </w:rPr>
        <w:t>s</w:t>
      </w:r>
      <w:r w:rsidR="00DD48AB" w:rsidRPr="00F87467">
        <w:rPr>
          <w:rFonts w:ascii="Times New Roman" w:hAnsi="Times New Roman" w:cs="Times New Roman"/>
          <w:sz w:val="24"/>
          <w:szCs w:val="24"/>
        </w:rPr>
        <w:t xml:space="preserve"> ha</w:t>
      </w:r>
      <w:r w:rsidR="008B5B17" w:rsidRPr="00F87467">
        <w:rPr>
          <w:rFonts w:ascii="Times New Roman" w:hAnsi="Times New Roman" w:cs="Times New Roman"/>
          <w:sz w:val="24"/>
          <w:szCs w:val="24"/>
        </w:rPr>
        <w:t>ve</w:t>
      </w:r>
      <w:r w:rsidR="00DD48AB" w:rsidRPr="00F87467">
        <w:rPr>
          <w:rFonts w:ascii="Times New Roman" w:hAnsi="Times New Roman" w:cs="Times New Roman"/>
          <w:sz w:val="24"/>
          <w:szCs w:val="24"/>
        </w:rPr>
        <w:t xml:space="preserve"> the obligation to perform a complete conformity assessment and prove that </w:t>
      </w:r>
      <w:r w:rsidR="008B5B17" w:rsidRPr="00F87467">
        <w:rPr>
          <w:rFonts w:ascii="Times New Roman" w:hAnsi="Times New Roman" w:cs="Times New Roman"/>
          <w:sz w:val="24"/>
          <w:szCs w:val="24"/>
        </w:rPr>
        <w:t>the</w:t>
      </w:r>
      <w:r w:rsidR="00DD48AB" w:rsidRPr="00F87467">
        <w:rPr>
          <w:rFonts w:ascii="Times New Roman" w:hAnsi="Times New Roman" w:cs="Times New Roman"/>
          <w:sz w:val="24"/>
          <w:szCs w:val="24"/>
        </w:rPr>
        <w:t xml:space="preserve"> product complies with all requirements of the claimed/chosen PFC and relevant component materials.   </w:t>
      </w:r>
    </w:p>
    <w:p w14:paraId="5A084278" w14:textId="77777777" w:rsidR="001E2F5E" w:rsidRPr="00F87467" w:rsidRDefault="001E2F5E" w:rsidP="00F87467">
      <w:pPr>
        <w:tabs>
          <w:tab w:val="left" w:pos="426"/>
        </w:tabs>
        <w:spacing w:before="60" w:after="60"/>
        <w:jc w:val="both"/>
        <w:rPr>
          <w:rFonts w:ascii="Times New Roman" w:hAnsi="Times New Roman" w:cs="Times New Roman"/>
          <w:sz w:val="24"/>
          <w:szCs w:val="24"/>
        </w:rPr>
      </w:pPr>
    </w:p>
    <w:p w14:paraId="65D01633" w14:textId="13BE1A9C" w:rsidR="008B5E64" w:rsidRPr="001B2921" w:rsidRDefault="008B5E64" w:rsidP="00F87467">
      <w:pPr>
        <w:pStyle w:val="Heading2"/>
        <w:spacing w:before="60" w:after="60" w:line="276" w:lineRule="auto"/>
      </w:pPr>
      <w:bookmarkStart w:id="39" w:name="_Toc59185400"/>
      <w:r w:rsidRPr="001B2921">
        <w:t>May an EU fertilising product belong to two product function categories at the same time?</w:t>
      </w:r>
      <w:bookmarkEnd w:id="39"/>
      <w:r w:rsidRPr="001B2921">
        <w:t xml:space="preserve">  </w:t>
      </w:r>
    </w:p>
    <w:p w14:paraId="7BD39AC9" w14:textId="63D6280C" w:rsidR="008B5E64" w:rsidRPr="001B2921" w:rsidRDefault="008B5E64" w:rsidP="00F87467">
      <w:pPr>
        <w:spacing w:before="60" w:after="60"/>
        <w:jc w:val="both"/>
        <w:rPr>
          <w:rFonts w:ascii="Times New Roman" w:hAnsi="Times New Roman" w:cs="Times New Roman"/>
          <w:sz w:val="24"/>
          <w:szCs w:val="24"/>
        </w:rPr>
      </w:pPr>
      <w:r w:rsidRPr="001B2921">
        <w:rPr>
          <w:rFonts w:ascii="Times New Roman" w:hAnsi="Times New Roman" w:cs="Times New Roman"/>
          <w:sz w:val="24"/>
          <w:szCs w:val="24"/>
        </w:rPr>
        <w:t xml:space="preserve">EU fertilising products may belong to just one product function category, but may have several functions if </w:t>
      </w:r>
      <w:r w:rsidR="00E00C5E" w:rsidRPr="001B2921">
        <w:rPr>
          <w:rFonts w:ascii="Times New Roman" w:hAnsi="Times New Roman" w:cs="Times New Roman"/>
          <w:sz w:val="24"/>
          <w:szCs w:val="24"/>
        </w:rPr>
        <w:t>they</w:t>
      </w:r>
      <w:r w:rsidRPr="001B2921">
        <w:rPr>
          <w:rFonts w:ascii="Times New Roman" w:hAnsi="Times New Roman" w:cs="Times New Roman"/>
          <w:sz w:val="24"/>
          <w:szCs w:val="24"/>
        </w:rPr>
        <w:t xml:space="preserve"> belong to product function category 7.  </w:t>
      </w:r>
    </w:p>
    <w:p w14:paraId="7FE60288" w14:textId="0A0931DF" w:rsidR="008B5E64" w:rsidRPr="001B2921" w:rsidRDefault="008B5E64" w:rsidP="00F87467">
      <w:pPr>
        <w:spacing w:before="60" w:after="60"/>
        <w:jc w:val="both"/>
        <w:rPr>
          <w:rFonts w:ascii="Times New Roman" w:hAnsi="Times New Roman" w:cs="Times New Roman"/>
          <w:sz w:val="24"/>
          <w:szCs w:val="24"/>
        </w:rPr>
      </w:pPr>
      <w:r w:rsidRPr="001B2921">
        <w:rPr>
          <w:rFonts w:ascii="Times New Roman" w:hAnsi="Times New Roman" w:cs="Times New Roman"/>
          <w:sz w:val="24"/>
          <w:szCs w:val="24"/>
        </w:rPr>
        <w:t xml:space="preserve">If </w:t>
      </w:r>
      <w:r w:rsidR="00DA6FE5">
        <w:rPr>
          <w:rFonts w:ascii="Times New Roman" w:hAnsi="Times New Roman" w:cs="Times New Roman"/>
          <w:sz w:val="24"/>
          <w:szCs w:val="24"/>
        </w:rPr>
        <w:t xml:space="preserve">one single material or one single composition of materials </w:t>
      </w:r>
      <w:r w:rsidRPr="001B2921">
        <w:rPr>
          <w:rFonts w:ascii="Times New Roman" w:hAnsi="Times New Roman" w:cs="Times New Roman"/>
          <w:sz w:val="24"/>
          <w:szCs w:val="24"/>
        </w:rPr>
        <w:t>fulfil</w:t>
      </w:r>
      <w:r w:rsidR="00DA6FE5">
        <w:rPr>
          <w:rFonts w:ascii="Times New Roman" w:hAnsi="Times New Roman" w:cs="Times New Roman"/>
          <w:sz w:val="24"/>
          <w:szCs w:val="24"/>
        </w:rPr>
        <w:t>s</w:t>
      </w:r>
      <w:r w:rsidRPr="001B2921">
        <w:rPr>
          <w:rFonts w:ascii="Times New Roman" w:hAnsi="Times New Roman" w:cs="Times New Roman"/>
          <w:sz w:val="24"/>
          <w:szCs w:val="24"/>
        </w:rPr>
        <w:t xml:space="preserve"> the conditions under two of the predefined product function categories 1 to 6,</w:t>
      </w:r>
      <w:r w:rsidR="008A769A" w:rsidRPr="001B2921">
        <w:rPr>
          <w:rFonts w:ascii="Times New Roman" w:hAnsi="Times New Roman" w:cs="Times New Roman"/>
          <w:sz w:val="24"/>
          <w:szCs w:val="24"/>
        </w:rPr>
        <w:t xml:space="preserve"> as well as the other relevant requirements in Annexes II and III to the </w:t>
      </w:r>
      <w:hyperlink r:id="rId77" w:history="1">
        <w:r w:rsidR="008A769A" w:rsidRPr="001B2921">
          <w:rPr>
            <w:rStyle w:val="Hyperlink"/>
            <w:rFonts w:ascii="Times New Roman" w:hAnsi="Times New Roman" w:cs="Times New Roman"/>
            <w:sz w:val="24"/>
            <w:szCs w:val="24"/>
          </w:rPr>
          <w:t>FPR</w:t>
        </w:r>
      </w:hyperlink>
      <w:r w:rsidR="008A769A" w:rsidRPr="001B2921">
        <w:rPr>
          <w:rFonts w:ascii="Times New Roman" w:hAnsi="Times New Roman" w:cs="Times New Roman"/>
          <w:sz w:val="24"/>
          <w:szCs w:val="24"/>
        </w:rPr>
        <w:t>,</w:t>
      </w:r>
      <w:r w:rsidRPr="001B2921">
        <w:rPr>
          <w:rFonts w:ascii="Times New Roman" w:hAnsi="Times New Roman" w:cs="Times New Roman"/>
          <w:sz w:val="24"/>
          <w:szCs w:val="24"/>
        </w:rPr>
        <w:t xml:space="preserve"> the manufacturer has the possibility to follow the conformity assessment procedure for each product function category and then market the product as a blend (product function category 7). </w:t>
      </w:r>
      <w:r w:rsidR="00DA6FE5">
        <w:rPr>
          <w:rFonts w:ascii="Times New Roman" w:hAnsi="Times New Roman" w:cs="Times New Roman"/>
          <w:sz w:val="24"/>
          <w:szCs w:val="24"/>
        </w:rPr>
        <w:t>This could for instance be a protein which acts a</w:t>
      </w:r>
      <w:r w:rsidR="009B066D">
        <w:rPr>
          <w:rFonts w:ascii="Times New Roman" w:hAnsi="Times New Roman" w:cs="Times New Roman"/>
          <w:sz w:val="24"/>
          <w:szCs w:val="24"/>
        </w:rPr>
        <w:t>s a plant biostimulant PFC 6(A)</w:t>
      </w:r>
      <w:r w:rsidR="00DA6FE5">
        <w:rPr>
          <w:rFonts w:ascii="Times New Roman" w:hAnsi="Times New Roman" w:cs="Times New Roman"/>
          <w:sz w:val="24"/>
          <w:szCs w:val="24"/>
        </w:rPr>
        <w:t xml:space="preserve"> and also biodegrades to release ni</w:t>
      </w:r>
      <w:r w:rsidR="009B066D">
        <w:rPr>
          <w:rFonts w:ascii="Times New Roman" w:hAnsi="Times New Roman" w:cs="Times New Roman"/>
          <w:sz w:val="24"/>
          <w:szCs w:val="24"/>
        </w:rPr>
        <w:t>trogen and phosphorus, PFC 1(A)</w:t>
      </w:r>
      <w:r w:rsidR="00DA6FE5">
        <w:rPr>
          <w:rFonts w:ascii="Times New Roman" w:hAnsi="Times New Roman" w:cs="Times New Roman"/>
          <w:sz w:val="24"/>
          <w:szCs w:val="24"/>
        </w:rPr>
        <w:t xml:space="preserve">. </w:t>
      </w:r>
      <w:r w:rsidRPr="001B2921">
        <w:rPr>
          <w:rFonts w:ascii="Times New Roman" w:hAnsi="Times New Roman" w:cs="Times New Roman"/>
          <w:sz w:val="24"/>
          <w:szCs w:val="24"/>
        </w:rPr>
        <w:t xml:space="preserve"> </w:t>
      </w:r>
    </w:p>
    <w:p w14:paraId="3747B3BD" w14:textId="72901E44" w:rsidR="005E0960" w:rsidRPr="00F87467" w:rsidRDefault="005E0960" w:rsidP="00F87467">
      <w:pPr>
        <w:spacing w:before="60" w:after="60"/>
        <w:jc w:val="both"/>
        <w:rPr>
          <w:rFonts w:ascii="Times New Roman" w:hAnsi="Times New Roman" w:cs="Times New Roman"/>
          <w:sz w:val="24"/>
          <w:szCs w:val="24"/>
        </w:rPr>
      </w:pPr>
      <w:r w:rsidRPr="001B2921">
        <w:rPr>
          <w:rFonts w:ascii="Times New Roman" w:hAnsi="Times New Roman" w:cs="Times New Roman"/>
          <w:sz w:val="24"/>
          <w:szCs w:val="24"/>
        </w:rPr>
        <w:lastRenderedPageBreak/>
        <w:t xml:space="preserve">Even though the product is a fertilising product blend, it does not necessarily have to </w:t>
      </w:r>
      <w:r w:rsidR="00221772" w:rsidRPr="001B2921">
        <w:rPr>
          <w:rFonts w:ascii="Times New Roman" w:hAnsi="Times New Roman" w:cs="Times New Roman"/>
          <w:sz w:val="24"/>
          <w:szCs w:val="24"/>
        </w:rPr>
        <w:t xml:space="preserve">mention the word “blend” on the </w:t>
      </w:r>
      <w:r w:rsidRPr="001B2921">
        <w:rPr>
          <w:rFonts w:ascii="Times New Roman" w:hAnsi="Times New Roman" w:cs="Times New Roman"/>
          <w:sz w:val="24"/>
          <w:szCs w:val="24"/>
        </w:rPr>
        <w:t>label</w:t>
      </w:r>
      <w:r w:rsidRPr="00A72302">
        <w:rPr>
          <w:rFonts w:ascii="Times New Roman" w:hAnsi="Times New Roman" w:cs="Times New Roman"/>
          <w:sz w:val="24"/>
          <w:szCs w:val="24"/>
        </w:rPr>
        <w:t>.</w:t>
      </w:r>
      <w:r w:rsidRPr="00F87467">
        <w:rPr>
          <w:rFonts w:ascii="Times New Roman" w:hAnsi="Times New Roman" w:cs="Times New Roman"/>
          <w:sz w:val="24"/>
          <w:szCs w:val="24"/>
        </w:rPr>
        <w:t xml:space="preserve"> </w:t>
      </w:r>
    </w:p>
    <w:p w14:paraId="272CF495" w14:textId="77777777" w:rsidR="008B5E64" w:rsidRPr="00F87467" w:rsidRDefault="008B5E64" w:rsidP="00F87467">
      <w:pPr>
        <w:spacing w:before="60" w:after="60"/>
        <w:jc w:val="both"/>
        <w:rPr>
          <w:rFonts w:ascii="Times New Roman" w:hAnsi="Times New Roman" w:cs="Times New Roman"/>
          <w:sz w:val="24"/>
          <w:szCs w:val="24"/>
        </w:rPr>
      </w:pPr>
    </w:p>
    <w:p w14:paraId="19C2C3D4" w14:textId="1AC8DCFE" w:rsidR="00C379D5" w:rsidRPr="00F87467" w:rsidRDefault="00C379D5" w:rsidP="00F87467">
      <w:pPr>
        <w:pStyle w:val="Heading2"/>
        <w:spacing w:before="60" w:after="60" w:line="276" w:lineRule="auto"/>
      </w:pPr>
      <w:bookmarkStart w:id="40" w:name="_Toc59185401"/>
      <w:r w:rsidRPr="00F87467">
        <w:t>What is the max</w:t>
      </w:r>
      <w:r w:rsidR="00374605" w:rsidRPr="00F87467">
        <w:t>imum</w:t>
      </w:r>
      <w:r w:rsidRPr="00F87467">
        <w:t xml:space="preserve"> content of organic carbon (C</w:t>
      </w:r>
      <w:r w:rsidRPr="00F87467">
        <w:rPr>
          <w:vertAlign w:val="subscript"/>
        </w:rPr>
        <w:t>org</w:t>
      </w:r>
      <w:r w:rsidRPr="00F87467">
        <w:t xml:space="preserve">) that an inorganic </w:t>
      </w:r>
      <w:r w:rsidR="00D833BA" w:rsidRPr="00F87467">
        <w:t>fertiliser</w:t>
      </w:r>
      <w:r w:rsidRPr="00F87467">
        <w:t xml:space="preserve"> may contain?</w:t>
      </w:r>
      <w:bookmarkEnd w:id="40"/>
      <w:r w:rsidRPr="00F87467">
        <w:t xml:space="preserve"> </w:t>
      </w:r>
    </w:p>
    <w:p w14:paraId="60BA8271" w14:textId="5052E4E1" w:rsidR="003127F2" w:rsidRPr="00F87467" w:rsidRDefault="00AE4155" w:rsidP="00F87467">
      <w:pPr>
        <w:keepNext/>
        <w:spacing w:before="60" w:after="60"/>
        <w:jc w:val="both"/>
        <w:rPr>
          <w:rFonts w:ascii="Times New Roman" w:hAnsi="Times New Roman" w:cs="Times New Roman"/>
          <w:sz w:val="24"/>
          <w:szCs w:val="24"/>
        </w:rPr>
      </w:pPr>
      <w:r w:rsidRPr="00F87467">
        <w:rPr>
          <w:rFonts w:ascii="Times New Roman" w:hAnsi="Times New Roman" w:cs="Times New Roman"/>
          <w:sz w:val="24"/>
          <w:szCs w:val="24"/>
        </w:rPr>
        <w:t>I</w:t>
      </w:r>
      <w:r w:rsidR="00FC7292" w:rsidRPr="00F87467">
        <w:rPr>
          <w:rFonts w:ascii="Times New Roman" w:hAnsi="Times New Roman" w:cs="Times New Roman"/>
          <w:sz w:val="24"/>
          <w:szCs w:val="24"/>
        </w:rPr>
        <w:t>norganic fertilisers are</w:t>
      </w:r>
      <w:r w:rsidR="0012431C" w:rsidRPr="00F87467">
        <w:rPr>
          <w:rFonts w:ascii="Times New Roman" w:hAnsi="Times New Roman" w:cs="Times New Roman"/>
          <w:sz w:val="24"/>
          <w:szCs w:val="24"/>
        </w:rPr>
        <w:t xml:space="preserve"> fertilisers that </w:t>
      </w:r>
      <w:r w:rsidR="00FC7292" w:rsidRPr="00F87467">
        <w:rPr>
          <w:rFonts w:ascii="Times New Roman" w:hAnsi="Times New Roman" w:cs="Times New Roman"/>
          <w:sz w:val="24"/>
          <w:szCs w:val="24"/>
        </w:rPr>
        <w:t>contain or release nutrients in a mineral form</w:t>
      </w:r>
      <w:r w:rsidR="00374605" w:rsidRPr="00F87467">
        <w:rPr>
          <w:rFonts w:ascii="Times New Roman" w:hAnsi="Times New Roman" w:cs="Times New Roman"/>
          <w:sz w:val="24"/>
          <w:szCs w:val="24"/>
        </w:rPr>
        <w:t>, other than organic or organo-mineral fertilisers</w:t>
      </w:r>
      <w:r w:rsidR="00FC7292" w:rsidRPr="00F87467">
        <w:rPr>
          <w:rFonts w:ascii="Times New Roman" w:hAnsi="Times New Roman" w:cs="Times New Roman"/>
          <w:sz w:val="24"/>
          <w:szCs w:val="24"/>
        </w:rPr>
        <w:t xml:space="preserve">. In the </w:t>
      </w:r>
      <w:hyperlink r:id="rId78" w:history="1">
        <w:r w:rsidR="00374605" w:rsidRPr="00D53265">
          <w:rPr>
            <w:rStyle w:val="Hyperlink"/>
            <w:rFonts w:ascii="Times New Roman" w:hAnsi="Times New Roman" w:cs="Times New Roman"/>
            <w:sz w:val="24"/>
            <w:szCs w:val="24"/>
          </w:rPr>
          <w:t>FPR</w:t>
        </w:r>
      </w:hyperlink>
      <w:r w:rsidR="00374605" w:rsidRPr="00F87467">
        <w:rPr>
          <w:rFonts w:ascii="Times New Roman" w:hAnsi="Times New Roman" w:cs="Times New Roman"/>
          <w:sz w:val="24"/>
          <w:szCs w:val="24"/>
        </w:rPr>
        <w:t xml:space="preserve"> there are no </w:t>
      </w:r>
      <w:r w:rsidR="00FC7292" w:rsidRPr="00F87467">
        <w:rPr>
          <w:rFonts w:ascii="Times New Roman" w:hAnsi="Times New Roman" w:cs="Times New Roman"/>
          <w:sz w:val="24"/>
          <w:szCs w:val="24"/>
        </w:rPr>
        <w:t>restrictions as regards the presence of organic matter or organic carbon</w:t>
      </w:r>
      <w:r w:rsidR="00972F0E" w:rsidRPr="00F87467">
        <w:rPr>
          <w:rFonts w:ascii="Times New Roman" w:hAnsi="Times New Roman" w:cs="Times New Roman"/>
          <w:sz w:val="24"/>
          <w:szCs w:val="24"/>
        </w:rPr>
        <w:t xml:space="preserve"> (C</w:t>
      </w:r>
      <w:r w:rsidR="00972F0E" w:rsidRPr="00F87467">
        <w:rPr>
          <w:rFonts w:ascii="Times New Roman" w:hAnsi="Times New Roman" w:cs="Times New Roman"/>
          <w:sz w:val="24"/>
          <w:szCs w:val="24"/>
          <w:vertAlign w:val="subscript"/>
        </w:rPr>
        <w:t>org</w:t>
      </w:r>
      <w:r w:rsidR="00972F0E" w:rsidRPr="00F87467">
        <w:rPr>
          <w:rFonts w:ascii="Times New Roman" w:hAnsi="Times New Roman" w:cs="Times New Roman"/>
          <w:sz w:val="24"/>
          <w:szCs w:val="24"/>
        </w:rPr>
        <w:t>)</w:t>
      </w:r>
      <w:r w:rsidR="00374605" w:rsidRPr="00F87467">
        <w:rPr>
          <w:rFonts w:ascii="Times New Roman" w:hAnsi="Times New Roman" w:cs="Times New Roman"/>
          <w:sz w:val="24"/>
          <w:szCs w:val="24"/>
        </w:rPr>
        <w:t>. Thus,</w:t>
      </w:r>
      <w:r w:rsidR="00FC7292" w:rsidRPr="00F87467">
        <w:rPr>
          <w:rFonts w:ascii="Times New Roman" w:hAnsi="Times New Roman" w:cs="Times New Roman"/>
          <w:sz w:val="24"/>
          <w:szCs w:val="24"/>
        </w:rPr>
        <w:t xml:space="preserve"> it cannot be excluded that inorganic fertilisers</w:t>
      </w:r>
      <w:r w:rsidR="00972F0E" w:rsidRPr="00F87467">
        <w:rPr>
          <w:rFonts w:ascii="Times New Roman" w:hAnsi="Times New Roman" w:cs="Times New Roman"/>
          <w:sz w:val="24"/>
          <w:szCs w:val="24"/>
        </w:rPr>
        <w:t xml:space="preserve"> </w:t>
      </w:r>
      <w:r w:rsidR="00FC7292" w:rsidRPr="00F87467">
        <w:rPr>
          <w:rFonts w:ascii="Times New Roman" w:hAnsi="Times New Roman" w:cs="Times New Roman"/>
          <w:sz w:val="24"/>
          <w:szCs w:val="24"/>
        </w:rPr>
        <w:t>may</w:t>
      </w:r>
      <w:r w:rsidR="004A7CC9" w:rsidRPr="00F87467">
        <w:rPr>
          <w:rFonts w:ascii="Times New Roman" w:hAnsi="Times New Roman" w:cs="Times New Roman"/>
          <w:sz w:val="24"/>
          <w:szCs w:val="24"/>
        </w:rPr>
        <w:t xml:space="preserve"> contain </w:t>
      </w:r>
      <w:r w:rsidR="00972F0E" w:rsidRPr="00F87467">
        <w:rPr>
          <w:rFonts w:ascii="Times New Roman" w:hAnsi="Times New Roman" w:cs="Times New Roman"/>
          <w:sz w:val="24"/>
          <w:szCs w:val="24"/>
        </w:rPr>
        <w:t>C</w:t>
      </w:r>
      <w:r w:rsidR="00972F0E" w:rsidRPr="00F87467">
        <w:rPr>
          <w:rFonts w:ascii="Times New Roman" w:hAnsi="Times New Roman" w:cs="Times New Roman"/>
          <w:sz w:val="24"/>
          <w:szCs w:val="24"/>
          <w:vertAlign w:val="subscript"/>
        </w:rPr>
        <w:t>org</w:t>
      </w:r>
      <w:r w:rsidR="003127F2" w:rsidRPr="00F87467">
        <w:rPr>
          <w:rFonts w:ascii="Times New Roman" w:hAnsi="Times New Roman" w:cs="Times New Roman"/>
          <w:sz w:val="24"/>
          <w:szCs w:val="24"/>
        </w:rPr>
        <w:t xml:space="preserve"> and there is no maximum limit for the content set in </w:t>
      </w:r>
      <w:r w:rsidR="00374605" w:rsidRPr="00F87467">
        <w:rPr>
          <w:rFonts w:ascii="Times New Roman" w:hAnsi="Times New Roman" w:cs="Times New Roman"/>
          <w:sz w:val="24"/>
          <w:szCs w:val="24"/>
        </w:rPr>
        <w:t xml:space="preserve">the </w:t>
      </w:r>
      <w:hyperlink r:id="rId79" w:history="1">
        <w:r w:rsidR="003127F2" w:rsidRPr="00D53265">
          <w:rPr>
            <w:rStyle w:val="Hyperlink"/>
            <w:rFonts w:ascii="Times New Roman" w:hAnsi="Times New Roman" w:cs="Times New Roman"/>
            <w:sz w:val="24"/>
            <w:szCs w:val="24"/>
          </w:rPr>
          <w:t>FPR</w:t>
        </w:r>
      </w:hyperlink>
      <w:r w:rsidR="003127F2" w:rsidRPr="00F87467">
        <w:rPr>
          <w:rFonts w:ascii="Times New Roman" w:hAnsi="Times New Roman" w:cs="Times New Roman"/>
          <w:sz w:val="24"/>
          <w:szCs w:val="24"/>
        </w:rPr>
        <w:t>. However, for inorganic fertilisers that are labelled as mineral fertilisers the maximum content of C</w:t>
      </w:r>
      <w:r w:rsidR="003127F2" w:rsidRPr="00F87467">
        <w:rPr>
          <w:rFonts w:ascii="Times New Roman" w:hAnsi="Times New Roman" w:cs="Times New Roman"/>
          <w:sz w:val="24"/>
          <w:szCs w:val="24"/>
          <w:vertAlign w:val="subscript"/>
        </w:rPr>
        <w:t>org</w:t>
      </w:r>
      <w:r w:rsidR="003127F2" w:rsidRPr="00F87467">
        <w:rPr>
          <w:rFonts w:ascii="Times New Roman" w:hAnsi="Times New Roman" w:cs="Times New Roman"/>
          <w:sz w:val="24"/>
          <w:szCs w:val="24"/>
        </w:rPr>
        <w:t xml:space="preserve"> is 1 %</w:t>
      </w:r>
      <w:r w:rsidR="009A653B" w:rsidRPr="00F87467">
        <w:rPr>
          <w:rFonts w:ascii="Times New Roman" w:hAnsi="Times New Roman" w:cs="Times New Roman"/>
          <w:sz w:val="24"/>
          <w:szCs w:val="24"/>
        </w:rPr>
        <w:t>,</w:t>
      </w:r>
      <w:r w:rsidR="003127F2" w:rsidRPr="00F87467">
        <w:rPr>
          <w:rFonts w:ascii="Times New Roman" w:hAnsi="Times New Roman" w:cs="Times New Roman"/>
          <w:sz w:val="24"/>
          <w:szCs w:val="24"/>
        </w:rPr>
        <w:t xml:space="preserve"> with some exceptions.</w:t>
      </w:r>
    </w:p>
    <w:p w14:paraId="61328BCA" w14:textId="77777777" w:rsidR="003127F2" w:rsidRPr="00F87467" w:rsidRDefault="003127F2" w:rsidP="00F87467">
      <w:pPr>
        <w:spacing w:before="60" w:after="60"/>
        <w:jc w:val="both"/>
        <w:rPr>
          <w:rFonts w:ascii="Times New Roman" w:hAnsi="Times New Roman" w:cs="Times New Roman"/>
          <w:color w:val="FF0000"/>
          <w:sz w:val="24"/>
          <w:szCs w:val="24"/>
        </w:rPr>
      </w:pPr>
    </w:p>
    <w:p w14:paraId="779C933A" w14:textId="435C5829" w:rsidR="007905E4" w:rsidRPr="00F87467" w:rsidRDefault="00103AB6" w:rsidP="00F87467">
      <w:pPr>
        <w:pStyle w:val="Heading2"/>
        <w:spacing w:before="60" w:after="60" w:line="276" w:lineRule="auto"/>
      </w:pPr>
      <w:bookmarkStart w:id="41" w:name="_Toc59185402"/>
      <w:r w:rsidRPr="00F87467">
        <w:t xml:space="preserve">How to </w:t>
      </w:r>
      <w:r w:rsidR="00D833BA" w:rsidRPr="00F87467">
        <w:t>categorise an</w:t>
      </w:r>
      <w:r w:rsidRPr="00F87467">
        <w:t xml:space="preserve"> inorganic fertili</w:t>
      </w:r>
      <w:r w:rsidR="0012431C" w:rsidRPr="00F87467">
        <w:t>s</w:t>
      </w:r>
      <w:r w:rsidRPr="00F87467">
        <w:t xml:space="preserve">er </w:t>
      </w:r>
      <w:r w:rsidR="0012431C" w:rsidRPr="00F87467">
        <w:t xml:space="preserve">that </w:t>
      </w:r>
      <w:r w:rsidRPr="00F87467">
        <w:t>contain</w:t>
      </w:r>
      <w:r w:rsidR="0012431C" w:rsidRPr="00F87467">
        <w:t>s</w:t>
      </w:r>
      <w:r w:rsidRPr="00F87467">
        <w:t xml:space="preserve"> only secondary</w:t>
      </w:r>
      <w:r w:rsidR="00374605" w:rsidRPr="00F87467">
        <w:t xml:space="preserve"> </w:t>
      </w:r>
      <w:r w:rsidR="007905E4" w:rsidRPr="00F87467">
        <w:t>nutrients</w:t>
      </w:r>
      <w:r w:rsidRPr="00F87467">
        <w:t>?</w:t>
      </w:r>
      <w:bookmarkEnd w:id="41"/>
    </w:p>
    <w:p w14:paraId="0B9BE6C8" w14:textId="04999621" w:rsidR="00340730" w:rsidRPr="00F87467" w:rsidRDefault="004F0D5C"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A product that only contains </w:t>
      </w:r>
      <w:r w:rsidR="00340730" w:rsidRPr="00F87467">
        <w:rPr>
          <w:rFonts w:ascii="Times New Roman" w:hAnsi="Times New Roman" w:cs="Times New Roman"/>
          <w:sz w:val="24"/>
          <w:szCs w:val="24"/>
        </w:rPr>
        <w:t>seconda</w:t>
      </w:r>
      <w:r w:rsidR="00340730" w:rsidRPr="001E2F5E">
        <w:rPr>
          <w:rFonts w:ascii="Times New Roman" w:hAnsi="Times New Roman" w:cs="Times New Roman"/>
          <w:sz w:val="24"/>
          <w:szCs w:val="24"/>
        </w:rPr>
        <w:t>ry macronutrients (</w:t>
      </w:r>
      <w:r w:rsidR="00374605" w:rsidRPr="001E2F5E">
        <w:rPr>
          <w:rFonts w:ascii="Times New Roman" w:hAnsi="Times New Roman" w:cs="Times New Roman"/>
          <w:sz w:val="24"/>
          <w:szCs w:val="24"/>
          <w:shd w:val="clear" w:color="auto" w:fill="FFFFFF"/>
        </w:rPr>
        <w:t>calcium (Ca), magnesium (Mg), sodium (Na) or sulphur (S)</w:t>
      </w:r>
      <w:r w:rsidR="00340730" w:rsidRPr="001E2F5E">
        <w:rPr>
          <w:rFonts w:ascii="Times New Roman" w:hAnsi="Times New Roman" w:cs="Times New Roman"/>
          <w:sz w:val="24"/>
          <w:szCs w:val="24"/>
        </w:rPr>
        <w:t xml:space="preserve">) </w:t>
      </w:r>
      <w:r w:rsidR="00374605" w:rsidRPr="001E2F5E">
        <w:rPr>
          <w:rFonts w:ascii="Times New Roman" w:hAnsi="Times New Roman" w:cs="Times New Roman"/>
          <w:sz w:val="24"/>
          <w:szCs w:val="24"/>
        </w:rPr>
        <w:t xml:space="preserve">is </w:t>
      </w:r>
      <w:r w:rsidR="00374605" w:rsidRPr="00F87467">
        <w:rPr>
          <w:rFonts w:ascii="Times New Roman" w:hAnsi="Times New Roman" w:cs="Times New Roman"/>
          <w:sz w:val="24"/>
          <w:szCs w:val="24"/>
        </w:rPr>
        <w:t>an</w:t>
      </w:r>
      <w:r w:rsidR="00340730" w:rsidRPr="00F87467">
        <w:rPr>
          <w:rFonts w:ascii="Times New Roman" w:hAnsi="Times New Roman" w:cs="Times New Roman"/>
          <w:sz w:val="24"/>
          <w:szCs w:val="24"/>
        </w:rPr>
        <w:t xml:space="preserve"> Inorganic Macronutrient Fertiliser</w:t>
      </w:r>
      <w:r w:rsidR="00374605" w:rsidRPr="00F87467">
        <w:rPr>
          <w:rFonts w:ascii="Times New Roman" w:hAnsi="Times New Roman" w:cs="Times New Roman"/>
          <w:sz w:val="24"/>
          <w:szCs w:val="24"/>
        </w:rPr>
        <w:t xml:space="preserve"> (PFC 1(C)(I))</w:t>
      </w:r>
      <w:r w:rsidR="00340730" w:rsidRPr="00F87467">
        <w:rPr>
          <w:rFonts w:ascii="Times New Roman" w:hAnsi="Times New Roman" w:cs="Times New Roman"/>
          <w:sz w:val="24"/>
          <w:szCs w:val="24"/>
        </w:rPr>
        <w:t xml:space="preserve">. In order to narrow </w:t>
      </w:r>
      <w:r w:rsidR="001E2F5E">
        <w:rPr>
          <w:rFonts w:ascii="Times New Roman" w:hAnsi="Times New Roman" w:cs="Times New Roman"/>
          <w:sz w:val="24"/>
          <w:szCs w:val="24"/>
        </w:rPr>
        <w:t>down</w:t>
      </w:r>
      <w:r w:rsidR="00340730" w:rsidRPr="00F87467">
        <w:rPr>
          <w:rFonts w:ascii="Times New Roman" w:hAnsi="Times New Roman" w:cs="Times New Roman"/>
          <w:sz w:val="24"/>
          <w:szCs w:val="24"/>
        </w:rPr>
        <w:t xml:space="preserve"> the categorisation, </w:t>
      </w:r>
      <w:r w:rsidR="00374605" w:rsidRPr="00F87467">
        <w:rPr>
          <w:rFonts w:ascii="Times New Roman" w:hAnsi="Times New Roman" w:cs="Times New Roman"/>
          <w:sz w:val="24"/>
          <w:szCs w:val="24"/>
        </w:rPr>
        <w:t xml:space="preserve">there </w:t>
      </w:r>
      <w:r w:rsidR="00D833BA" w:rsidRPr="00F87467">
        <w:rPr>
          <w:rFonts w:ascii="Times New Roman" w:hAnsi="Times New Roman" w:cs="Times New Roman"/>
          <w:sz w:val="24"/>
          <w:szCs w:val="24"/>
        </w:rPr>
        <w:t>are two</w:t>
      </w:r>
      <w:r w:rsidR="00374605" w:rsidRPr="00F87467">
        <w:rPr>
          <w:rFonts w:ascii="Times New Roman" w:hAnsi="Times New Roman" w:cs="Times New Roman"/>
          <w:sz w:val="24"/>
          <w:szCs w:val="24"/>
        </w:rPr>
        <w:t xml:space="preserve"> </w:t>
      </w:r>
      <w:r w:rsidR="00340730" w:rsidRPr="00F87467">
        <w:rPr>
          <w:rFonts w:ascii="Times New Roman" w:hAnsi="Times New Roman" w:cs="Times New Roman"/>
          <w:sz w:val="24"/>
          <w:szCs w:val="24"/>
        </w:rPr>
        <w:t>options:</w:t>
      </w:r>
    </w:p>
    <w:p w14:paraId="3E36D16D" w14:textId="169C78BF" w:rsidR="00374605" w:rsidRPr="00F87467" w:rsidRDefault="0035782F" w:rsidP="00E717A1">
      <w:pPr>
        <w:pStyle w:val="ListParagraph"/>
        <w:numPr>
          <w:ilvl w:val="0"/>
          <w:numId w:val="14"/>
        </w:numPr>
        <w:tabs>
          <w:tab w:val="left" w:pos="426"/>
        </w:tabs>
        <w:spacing w:before="60" w:after="60" w:line="276" w:lineRule="auto"/>
        <w:jc w:val="both"/>
        <w:rPr>
          <w:szCs w:val="24"/>
          <w:lang w:val="en-GB"/>
        </w:rPr>
      </w:pPr>
      <w:r w:rsidRPr="00F87467">
        <w:rPr>
          <w:szCs w:val="24"/>
          <w:lang w:val="en-GB"/>
        </w:rPr>
        <w:t>if this</w:t>
      </w:r>
      <w:r w:rsidR="00340730" w:rsidRPr="00F87467">
        <w:rPr>
          <w:szCs w:val="24"/>
          <w:lang w:val="en-GB"/>
        </w:rPr>
        <w:t xml:space="preserve"> inorganic fertiliser contain</w:t>
      </w:r>
      <w:r w:rsidRPr="00F87467">
        <w:rPr>
          <w:szCs w:val="24"/>
          <w:lang w:val="en-GB"/>
        </w:rPr>
        <w:t>s</w:t>
      </w:r>
      <w:r w:rsidR="00340730" w:rsidRPr="00F87467">
        <w:rPr>
          <w:szCs w:val="24"/>
          <w:lang w:val="en-GB"/>
        </w:rPr>
        <w:t xml:space="preserve"> </w:t>
      </w:r>
      <w:r w:rsidR="00340730" w:rsidRPr="00F87467">
        <w:rPr>
          <w:b/>
          <w:szCs w:val="24"/>
          <w:lang w:val="en-GB"/>
        </w:rPr>
        <w:t>only one</w:t>
      </w:r>
      <w:r w:rsidR="00340730" w:rsidRPr="00F87467">
        <w:rPr>
          <w:szCs w:val="24"/>
          <w:lang w:val="en-GB"/>
        </w:rPr>
        <w:t xml:space="preserve"> secondary nutrient (Ca or Mg or Na or S) then it could belong to</w:t>
      </w:r>
    </w:p>
    <w:p w14:paraId="0AD542B4" w14:textId="0BD0F50E" w:rsidR="00374605" w:rsidRPr="00F87467" w:rsidRDefault="00340730" w:rsidP="006E54DF">
      <w:pPr>
        <w:pStyle w:val="ListParagraph"/>
        <w:numPr>
          <w:ilvl w:val="1"/>
          <w:numId w:val="34"/>
        </w:numPr>
        <w:tabs>
          <w:tab w:val="left" w:pos="426"/>
        </w:tabs>
        <w:spacing w:before="60" w:after="60" w:line="276" w:lineRule="auto"/>
        <w:jc w:val="both"/>
        <w:rPr>
          <w:szCs w:val="24"/>
          <w:lang w:val="en-GB"/>
        </w:rPr>
      </w:pPr>
      <w:r w:rsidRPr="00F87467">
        <w:rPr>
          <w:szCs w:val="24"/>
          <w:lang w:val="en-GB"/>
        </w:rPr>
        <w:t xml:space="preserve">PFC 1(C)(I)(a)(i)- Straight Solid Inorganic Macronutrient Fertiliser (if it is </w:t>
      </w:r>
      <w:r w:rsidR="0035782F" w:rsidRPr="00F87467">
        <w:rPr>
          <w:szCs w:val="24"/>
          <w:lang w:val="en-GB"/>
        </w:rPr>
        <w:t xml:space="preserve">in </w:t>
      </w:r>
      <w:r w:rsidRPr="00F87467">
        <w:rPr>
          <w:szCs w:val="24"/>
          <w:lang w:val="en-GB"/>
        </w:rPr>
        <w:t>solid</w:t>
      </w:r>
      <w:r w:rsidR="0035782F" w:rsidRPr="00F87467">
        <w:rPr>
          <w:szCs w:val="24"/>
          <w:lang w:val="en-GB"/>
        </w:rPr>
        <w:t xml:space="preserve"> form</w:t>
      </w:r>
      <w:r w:rsidRPr="00F87467">
        <w:rPr>
          <w:szCs w:val="24"/>
          <w:lang w:val="en-GB"/>
        </w:rPr>
        <w:t xml:space="preserve">) or </w:t>
      </w:r>
    </w:p>
    <w:p w14:paraId="40781518" w14:textId="77777777" w:rsidR="00374605" w:rsidRPr="00F87467" w:rsidRDefault="00340730" w:rsidP="006E54DF">
      <w:pPr>
        <w:pStyle w:val="ListParagraph"/>
        <w:numPr>
          <w:ilvl w:val="1"/>
          <w:numId w:val="34"/>
        </w:numPr>
        <w:tabs>
          <w:tab w:val="left" w:pos="426"/>
        </w:tabs>
        <w:spacing w:before="60" w:after="60" w:line="276" w:lineRule="auto"/>
        <w:jc w:val="both"/>
        <w:rPr>
          <w:szCs w:val="24"/>
          <w:lang w:val="en-GB"/>
        </w:rPr>
      </w:pPr>
      <w:r w:rsidRPr="00F87467">
        <w:rPr>
          <w:szCs w:val="24"/>
          <w:lang w:val="en-GB"/>
        </w:rPr>
        <w:t>PFC 1(C)(I)</w:t>
      </w:r>
      <w:r w:rsidR="0035782F" w:rsidRPr="00F87467">
        <w:rPr>
          <w:szCs w:val="24"/>
          <w:lang w:val="en-GB"/>
        </w:rPr>
        <w:t>(b</w:t>
      </w:r>
      <w:r w:rsidRPr="00F87467">
        <w:rPr>
          <w:szCs w:val="24"/>
          <w:lang w:val="en-GB"/>
        </w:rPr>
        <w:t>)(i)</w:t>
      </w:r>
      <w:r w:rsidR="0035782F" w:rsidRPr="00F87467">
        <w:rPr>
          <w:szCs w:val="24"/>
          <w:lang w:val="en-GB"/>
        </w:rPr>
        <w:t xml:space="preserve">- Straight Liquid Inorganic Macronutrient Fertiliser (if it is in liquid form), </w:t>
      </w:r>
    </w:p>
    <w:p w14:paraId="302DBF1F" w14:textId="20F3B51E" w:rsidR="00374605" w:rsidRPr="00F87467" w:rsidRDefault="0035782F" w:rsidP="00BF7A69">
      <w:pPr>
        <w:pStyle w:val="ListParagraph"/>
        <w:tabs>
          <w:tab w:val="left" w:pos="426"/>
        </w:tabs>
        <w:spacing w:before="60" w:after="60" w:line="276" w:lineRule="auto"/>
        <w:jc w:val="both"/>
        <w:rPr>
          <w:szCs w:val="24"/>
          <w:lang w:val="en-GB"/>
        </w:rPr>
      </w:pPr>
      <w:r w:rsidRPr="00F87467">
        <w:rPr>
          <w:szCs w:val="24"/>
          <w:lang w:val="en-GB"/>
        </w:rPr>
        <w:t>or</w:t>
      </w:r>
    </w:p>
    <w:p w14:paraId="0B214BB2" w14:textId="6A55E05E" w:rsidR="007905E4" w:rsidRPr="00F87467" w:rsidRDefault="0035782F" w:rsidP="00E717A1">
      <w:pPr>
        <w:pStyle w:val="ListParagraph"/>
        <w:numPr>
          <w:ilvl w:val="0"/>
          <w:numId w:val="14"/>
        </w:numPr>
        <w:tabs>
          <w:tab w:val="left" w:pos="426"/>
        </w:tabs>
        <w:spacing w:before="60" w:after="60" w:line="276" w:lineRule="auto"/>
        <w:jc w:val="both"/>
        <w:rPr>
          <w:szCs w:val="24"/>
          <w:lang w:val="en-GB"/>
        </w:rPr>
      </w:pPr>
      <w:r w:rsidRPr="00F87467">
        <w:rPr>
          <w:szCs w:val="24"/>
          <w:lang w:val="en-GB"/>
        </w:rPr>
        <w:t xml:space="preserve">if this inorganic fertiliser contains </w:t>
      </w:r>
      <w:r w:rsidRPr="00F87467">
        <w:rPr>
          <w:b/>
          <w:szCs w:val="24"/>
          <w:lang w:val="en-GB"/>
        </w:rPr>
        <w:t>more than one</w:t>
      </w:r>
      <w:r w:rsidRPr="00F87467">
        <w:rPr>
          <w:szCs w:val="24"/>
          <w:lang w:val="en-GB"/>
        </w:rPr>
        <w:t xml:space="preserve"> secondary nutrient (Ca, Mg, Na, S) then it could belong to  PFC 1(C)(I)(a)(ii)- Compound Solid Inorganic Macronutrient Fertiliser (if it is in solid form) or PFC 1(C)(I)(b)(ii)- Compound Liquid Inorganic Macronutrient Fertiliser (if it is in liquid form).</w:t>
      </w:r>
    </w:p>
    <w:p w14:paraId="2F7ED70C" w14:textId="77777777" w:rsidR="0035782F" w:rsidRPr="00F87467" w:rsidRDefault="0035782F" w:rsidP="00BF7A69">
      <w:pPr>
        <w:tabs>
          <w:tab w:val="left" w:pos="426"/>
        </w:tabs>
        <w:spacing w:before="60" w:after="60"/>
        <w:jc w:val="both"/>
        <w:rPr>
          <w:rFonts w:ascii="Times New Roman" w:hAnsi="Times New Roman" w:cs="Times New Roman"/>
          <w:sz w:val="24"/>
          <w:szCs w:val="24"/>
        </w:rPr>
      </w:pPr>
    </w:p>
    <w:p w14:paraId="0FC5E3BA" w14:textId="40B98FBF" w:rsidR="00E873A2" w:rsidRPr="00F87467" w:rsidRDefault="00E873A2" w:rsidP="00BF7A69">
      <w:pPr>
        <w:pStyle w:val="Heading2"/>
        <w:spacing w:before="60" w:after="60" w:line="276" w:lineRule="auto"/>
      </w:pPr>
      <w:bookmarkStart w:id="42" w:name="_Toc59185403"/>
      <w:r w:rsidRPr="00F87467">
        <w:t>What is a fertilising product blend?</w:t>
      </w:r>
      <w:bookmarkEnd w:id="42"/>
    </w:p>
    <w:p w14:paraId="4D89E4F7" w14:textId="48B967B3" w:rsidR="0082596B" w:rsidRPr="00A72302" w:rsidRDefault="0082596B" w:rsidP="00BF7A69">
      <w:pPr>
        <w:tabs>
          <w:tab w:val="left" w:pos="426"/>
        </w:tabs>
        <w:spacing w:before="60" w:after="60"/>
        <w:jc w:val="both"/>
        <w:rPr>
          <w:rFonts w:ascii="Times New Roman" w:hAnsi="Times New Roman" w:cs="Times New Roman"/>
          <w:sz w:val="24"/>
          <w:szCs w:val="24"/>
        </w:rPr>
      </w:pPr>
      <w:r w:rsidRPr="00A72302">
        <w:rPr>
          <w:rFonts w:ascii="Times New Roman" w:hAnsi="Times New Roman" w:cs="Times New Roman"/>
          <w:sz w:val="24"/>
          <w:szCs w:val="24"/>
        </w:rPr>
        <w:t>A fertilising product blend is composed of two or more EU fertilising products</w:t>
      </w:r>
      <w:r w:rsidR="00787037" w:rsidRPr="00A72302">
        <w:rPr>
          <w:rFonts w:ascii="Times New Roman" w:hAnsi="Times New Roman" w:cs="Times New Roman"/>
          <w:sz w:val="24"/>
          <w:szCs w:val="24"/>
        </w:rPr>
        <w:t xml:space="preserve"> of PFC 1 to 6</w:t>
      </w:r>
      <w:r w:rsidRPr="00A72302">
        <w:rPr>
          <w:rFonts w:ascii="Times New Roman" w:hAnsi="Times New Roman" w:cs="Times New Roman"/>
          <w:sz w:val="24"/>
          <w:szCs w:val="24"/>
        </w:rPr>
        <w:t>.</w:t>
      </w:r>
    </w:p>
    <w:p w14:paraId="60135258" w14:textId="77777777" w:rsidR="0082596B" w:rsidRPr="00A72302" w:rsidRDefault="0082596B" w:rsidP="00BF7A69">
      <w:pPr>
        <w:spacing w:before="60" w:after="60"/>
        <w:jc w:val="both"/>
        <w:rPr>
          <w:rFonts w:ascii="Times New Roman" w:hAnsi="Times New Roman" w:cs="Times New Roman"/>
          <w:sz w:val="24"/>
          <w:szCs w:val="24"/>
        </w:rPr>
      </w:pPr>
      <w:r w:rsidRPr="00A72302">
        <w:rPr>
          <w:rFonts w:ascii="Times New Roman" w:hAnsi="Times New Roman" w:cs="Times New Roman"/>
          <w:sz w:val="24"/>
          <w:szCs w:val="24"/>
        </w:rPr>
        <w:t xml:space="preserve">A blend may contain either: </w:t>
      </w:r>
    </w:p>
    <w:p w14:paraId="589CF0B6" w14:textId="4527BB2B" w:rsidR="0082596B" w:rsidRPr="00A72302" w:rsidRDefault="006A5E1E" w:rsidP="004A773A">
      <w:pPr>
        <w:pStyle w:val="ListParagraph"/>
        <w:numPr>
          <w:ilvl w:val="0"/>
          <w:numId w:val="31"/>
        </w:numPr>
        <w:spacing w:before="60" w:after="60" w:line="276" w:lineRule="auto"/>
        <w:jc w:val="both"/>
        <w:rPr>
          <w:szCs w:val="24"/>
          <w:lang w:val="en-GB"/>
        </w:rPr>
      </w:pPr>
      <w:r w:rsidRPr="00A72302">
        <w:rPr>
          <w:szCs w:val="24"/>
          <w:lang w:val="en-GB"/>
        </w:rPr>
        <w:t>P</w:t>
      </w:r>
      <w:r w:rsidR="0082596B" w:rsidRPr="00A72302">
        <w:rPr>
          <w:szCs w:val="24"/>
          <w:lang w:val="en-GB"/>
        </w:rPr>
        <w:t>roduct</w:t>
      </w:r>
      <w:r w:rsidRPr="00A72302">
        <w:rPr>
          <w:szCs w:val="24"/>
          <w:lang w:val="en-GB"/>
        </w:rPr>
        <w:t>(</w:t>
      </w:r>
      <w:r w:rsidR="0082596B" w:rsidRPr="00A72302">
        <w:rPr>
          <w:szCs w:val="24"/>
          <w:lang w:val="en-GB"/>
        </w:rPr>
        <w:t>s</w:t>
      </w:r>
      <w:r w:rsidRPr="00A72302">
        <w:rPr>
          <w:szCs w:val="24"/>
          <w:lang w:val="en-GB"/>
        </w:rPr>
        <w:t>)</w:t>
      </w:r>
      <w:r w:rsidR="0082596B" w:rsidRPr="00A72302">
        <w:rPr>
          <w:szCs w:val="24"/>
          <w:lang w:val="en-GB"/>
        </w:rPr>
        <w:t xml:space="preserve"> belonging to different product function categories: for instance, a blend obtained by mixing a fertiliser belonging to PFC 1 and a liming material belonging to PFC 2</w:t>
      </w:r>
      <w:r w:rsidRPr="00A72302">
        <w:rPr>
          <w:szCs w:val="24"/>
          <w:lang w:val="en-GB"/>
        </w:rPr>
        <w:t>;</w:t>
      </w:r>
      <w:r w:rsidRPr="00A72302">
        <w:rPr>
          <w:lang w:val="en-GB"/>
        </w:rPr>
        <w:t xml:space="preserve"> </w:t>
      </w:r>
      <w:r w:rsidRPr="00A72302">
        <w:rPr>
          <w:szCs w:val="24"/>
          <w:lang w:val="en-GB"/>
        </w:rPr>
        <w:t xml:space="preserve">this also covers </w:t>
      </w:r>
      <w:r w:rsidR="008A769A" w:rsidRPr="00A72302">
        <w:rPr>
          <w:szCs w:val="24"/>
          <w:lang w:val="en-GB"/>
        </w:rPr>
        <w:t xml:space="preserve">a </w:t>
      </w:r>
      <w:r w:rsidRPr="00A72302">
        <w:rPr>
          <w:szCs w:val="24"/>
          <w:lang w:val="en-GB"/>
        </w:rPr>
        <w:t xml:space="preserve">product </w:t>
      </w:r>
      <w:r w:rsidR="009B066D" w:rsidRPr="00A72302">
        <w:rPr>
          <w:szCs w:val="24"/>
          <w:lang w:val="en-GB"/>
        </w:rPr>
        <w:t xml:space="preserve">comprised of a single material </w:t>
      </w:r>
      <w:r w:rsidRPr="00A72302">
        <w:rPr>
          <w:szCs w:val="24"/>
          <w:lang w:val="en-GB"/>
        </w:rPr>
        <w:t>fulfilling the conditions under two of the predefined product function categories 1 to 6</w:t>
      </w:r>
      <w:r w:rsidR="008A769A" w:rsidRPr="00A72302">
        <w:rPr>
          <w:szCs w:val="24"/>
          <w:lang w:val="en-GB"/>
        </w:rPr>
        <w:t xml:space="preserve">, as well as the other relevant requirements in Annexes II and III to the </w:t>
      </w:r>
      <w:hyperlink r:id="rId80" w:history="1">
        <w:r w:rsidR="008A769A" w:rsidRPr="00A72302">
          <w:rPr>
            <w:rStyle w:val="Hyperlink"/>
            <w:szCs w:val="24"/>
            <w:lang w:val="en-GB"/>
          </w:rPr>
          <w:t>FPR</w:t>
        </w:r>
      </w:hyperlink>
      <w:r w:rsidR="008A769A" w:rsidRPr="00A72302">
        <w:rPr>
          <w:szCs w:val="24"/>
          <w:lang w:val="en-GB"/>
        </w:rPr>
        <w:t>,</w:t>
      </w:r>
      <w:r w:rsidRPr="00A72302">
        <w:rPr>
          <w:szCs w:val="24"/>
          <w:lang w:val="en-GB"/>
        </w:rPr>
        <w:t xml:space="preserve"> and for which the manufacturer has previously followed the corresponding conformity assessment procedure</w:t>
      </w:r>
      <w:r w:rsidR="008A769A" w:rsidRPr="00A72302">
        <w:rPr>
          <w:szCs w:val="24"/>
          <w:lang w:val="en-GB"/>
        </w:rPr>
        <w:t>s</w:t>
      </w:r>
      <w:r w:rsidRPr="00A72302">
        <w:rPr>
          <w:szCs w:val="24"/>
          <w:lang w:val="en-GB"/>
        </w:rPr>
        <w:t xml:space="preserve">; </w:t>
      </w:r>
    </w:p>
    <w:p w14:paraId="29CC573F" w14:textId="67145D2B" w:rsidR="0082596B" w:rsidRPr="00A72302" w:rsidRDefault="0082596B" w:rsidP="004A773A">
      <w:pPr>
        <w:pStyle w:val="ListParagraph"/>
        <w:numPr>
          <w:ilvl w:val="0"/>
          <w:numId w:val="31"/>
        </w:numPr>
        <w:spacing w:before="60" w:after="60" w:line="276" w:lineRule="auto"/>
        <w:jc w:val="both"/>
        <w:rPr>
          <w:szCs w:val="24"/>
          <w:lang w:val="en-GB"/>
        </w:rPr>
      </w:pPr>
      <w:r w:rsidRPr="00A72302">
        <w:rPr>
          <w:szCs w:val="24"/>
          <w:lang w:val="en-GB"/>
        </w:rPr>
        <w:t xml:space="preserve">products belonging to the same product function category: for instance, a blend obtained by mixing two fertilisers belonging to PFC 1. </w:t>
      </w:r>
    </w:p>
    <w:p w14:paraId="68DCCB47" w14:textId="30696294" w:rsidR="0082596B" w:rsidRDefault="001E2F5E" w:rsidP="00BF7A69">
      <w:pPr>
        <w:spacing w:before="60" w:after="60"/>
        <w:jc w:val="both"/>
        <w:rPr>
          <w:rFonts w:ascii="Times New Roman" w:hAnsi="Times New Roman" w:cs="Times New Roman"/>
          <w:sz w:val="24"/>
          <w:szCs w:val="24"/>
        </w:rPr>
      </w:pPr>
      <w:r w:rsidRPr="00A72302">
        <w:rPr>
          <w:rFonts w:ascii="Times New Roman" w:hAnsi="Times New Roman" w:cs="Times New Roman"/>
          <w:sz w:val="24"/>
          <w:szCs w:val="24"/>
        </w:rPr>
        <w:t>Also s</w:t>
      </w:r>
      <w:r w:rsidR="0082596B" w:rsidRPr="00A72302">
        <w:rPr>
          <w:rFonts w:ascii="Times New Roman" w:hAnsi="Times New Roman" w:cs="Times New Roman"/>
          <w:sz w:val="24"/>
          <w:szCs w:val="24"/>
        </w:rPr>
        <w:t>ee question</w:t>
      </w:r>
      <w:r w:rsidR="00E864CA" w:rsidRPr="00A72302">
        <w:rPr>
          <w:rFonts w:ascii="Times New Roman" w:hAnsi="Times New Roman" w:cs="Times New Roman"/>
          <w:sz w:val="24"/>
          <w:szCs w:val="24"/>
        </w:rPr>
        <w:t xml:space="preserve"> 7.3</w:t>
      </w:r>
      <w:r w:rsidR="0082596B" w:rsidRPr="00A72302">
        <w:rPr>
          <w:rFonts w:ascii="Times New Roman" w:hAnsi="Times New Roman" w:cs="Times New Roman"/>
          <w:sz w:val="24"/>
          <w:szCs w:val="24"/>
        </w:rPr>
        <w:t>.</w:t>
      </w:r>
    </w:p>
    <w:p w14:paraId="4743F35B" w14:textId="77777777" w:rsidR="00724A51" w:rsidRPr="00F87467" w:rsidRDefault="00724A51" w:rsidP="00BF7A69">
      <w:pPr>
        <w:spacing w:before="60" w:after="60"/>
        <w:jc w:val="both"/>
        <w:rPr>
          <w:rFonts w:ascii="Times New Roman" w:hAnsi="Times New Roman" w:cs="Times New Roman"/>
          <w:sz w:val="24"/>
          <w:szCs w:val="24"/>
        </w:rPr>
      </w:pPr>
    </w:p>
    <w:p w14:paraId="68C2A862" w14:textId="04A4297C" w:rsidR="00AE2609" w:rsidRPr="00F87467" w:rsidRDefault="00AE2609" w:rsidP="00BF7A69">
      <w:pPr>
        <w:pStyle w:val="Heading2"/>
        <w:spacing w:before="60" w:after="60" w:line="276" w:lineRule="auto"/>
      </w:pPr>
      <w:bookmarkStart w:id="43" w:name="_Toc59185404"/>
      <w:r w:rsidRPr="00F87467">
        <w:t xml:space="preserve">What are the obligations of a blender under the </w:t>
      </w:r>
      <w:r w:rsidR="006C30D9" w:rsidRPr="00F87467">
        <w:t>FPR</w:t>
      </w:r>
      <w:r w:rsidRPr="00F87467">
        <w:t>?</w:t>
      </w:r>
      <w:bookmarkEnd w:id="43"/>
      <w:r w:rsidRPr="00F87467">
        <w:t xml:space="preserve"> </w:t>
      </w:r>
    </w:p>
    <w:p w14:paraId="009619D8" w14:textId="199998AA" w:rsidR="00A227F0" w:rsidRPr="00F87467" w:rsidRDefault="00AE2609" w:rsidP="00BF7A69">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A blender is the manufacturer of the </w:t>
      </w:r>
      <w:r w:rsidR="002E3CFF" w:rsidRPr="00F87467">
        <w:rPr>
          <w:rFonts w:ascii="Times New Roman" w:hAnsi="Times New Roman" w:cs="Times New Roman"/>
          <w:sz w:val="24"/>
          <w:szCs w:val="24"/>
        </w:rPr>
        <w:t>fertilising</w:t>
      </w:r>
      <w:r w:rsidRPr="00F87467">
        <w:rPr>
          <w:rFonts w:ascii="Times New Roman" w:hAnsi="Times New Roman" w:cs="Times New Roman"/>
          <w:sz w:val="24"/>
          <w:szCs w:val="24"/>
        </w:rPr>
        <w:t xml:space="preserve"> product blend</w:t>
      </w:r>
      <w:r w:rsidR="00A227F0" w:rsidRPr="00F87467">
        <w:rPr>
          <w:rFonts w:ascii="Times New Roman" w:hAnsi="Times New Roman" w:cs="Times New Roman"/>
          <w:sz w:val="24"/>
          <w:szCs w:val="24"/>
        </w:rPr>
        <w:t xml:space="preserve"> and</w:t>
      </w:r>
      <w:r w:rsidRPr="00F87467">
        <w:rPr>
          <w:rFonts w:ascii="Times New Roman" w:hAnsi="Times New Roman" w:cs="Times New Roman"/>
          <w:sz w:val="24"/>
          <w:szCs w:val="24"/>
        </w:rPr>
        <w:t xml:space="preserve"> shoul</w:t>
      </w:r>
      <w:r w:rsidR="00B16B18">
        <w:rPr>
          <w:rFonts w:ascii="Times New Roman" w:hAnsi="Times New Roman" w:cs="Times New Roman"/>
          <w:sz w:val="24"/>
          <w:szCs w:val="24"/>
        </w:rPr>
        <w:t>d be in the position to guarantee</w:t>
      </w:r>
      <w:r w:rsidRPr="00F87467">
        <w:rPr>
          <w:rFonts w:ascii="Times New Roman" w:hAnsi="Times New Roman" w:cs="Times New Roman"/>
          <w:sz w:val="24"/>
          <w:szCs w:val="24"/>
        </w:rPr>
        <w:t xml:space="preserve"> that the blending perform</w:t>
      </w:r>
      <w:r w:rsidR="00A227F0" w:rsidRPr="00F87467">
        <w:rPr>
          <w:rFonts w:ascii="Times New Roman" w:hAnsi="Times New Roman" w:cs="Times New Roman"/>
          <w:sz w:val="24"/>
          <w:szCs w:val="24"/>
        </w:rPr>
        <w:t>ed:</w:t>
      </w:r>
      <w:r w:rsidRPr="00F87467">
        <w:rPr>
          <w:rFonts w:ascii="Times New Roman" w:hAnsi="Times New Roman" w:cs="Times New Roman"/>
          <w:sz w:val="24"/>
          <w:szCs w:val="24"/>
        </w:rPr>
        <w:t xml:space="preserve"> </w:t>
      </w:r>
    </w:p>
    <w:p w14:paraId="6864C547" w14:textId="7CC098A5" w:rsidR="00A227F0" w:rsidRPr="00F87467" w:rsidRDefault="00AE2609" w:rsidP="006E54DF">
      <w:pPr>
        <w:pStyle w:val="ListParagraph"/>
        <w:numPr>
          <w:ilvl w:val="0"/>
          <w:numId w:val="35"/>
        </w:numPr>
        <w:tabs>
          <w:tab w:val="left" w:pos="426"/>
        </w:tabs>
        <w:spacing w:before="60" w:after="60" w:line="276" w:lineRule="auto"/>
        <w:jc w:val="both"/>
        <w:rPr>
          <w:szCs w:val="24"/>
          <w:lang w:val="en-GB"/>
        </w:rPr>
      </w:pPr>
      <w:r w:rsidRPr="00F87467">
        <w:rPr>
          <w:szCs w:val="24"/>
          <w:lang w:val="en-GB"/>
        </w:rPr>
        <w:t>does not change the nature of each component EU fertilising product</w:t>
      </w:r>
      <w:r w:rsidR="007A6CC1" w:rsidRPr="00F87467">
        <w:rPr>
          <w:szCs w:val="24"/>
          <w:lang w:val="en-GB"/>
        </w:rPr>
        <w:t xml:space="preserve">, and </w:t>
      </w:r>
    </w:p>
    <w:p w14:paraId="27145F20" w14:textId="4A45874F" w:rsidR="00A227F0" w:rsidRPr="00F87467" w:rsidRDefault="007A6CC1" w:rsidP="006E54DF">
      <w:pPr>
        <w:pStyle w:val="ListParagraph"/>
        <w:numPr>
          <w:ilvl w:val="0"/>
          <w:numId w:val="35"/>
        </w:numPr>
        <w:tabs>
          <w:tab w:val="left" w:pos="426"/>
        </w:tabs>
        <w:spacing w:before="60" w:after="60" w:line="276" w:lineRule="auto"/>
        <w:jc w:val="both"/>
        <w:rPr>
          <w:szCs w:val="24"/>
          <w:lang w:val="en-GB"/>
        </w:rPr>
      </w:pPr>
      <w:r w:rsidRPr="00F87467">
        <w:rPr>
          <w:szCs w:val="24"/>
          <w:lang w:val="en-GB"/>
        </w:rPr>
        <w:t xml:space="preserve">does </w:t>
      </w:r>
      <w:r w:rsidR="00AE2609" w:rsidRPr="00F87467">
        <w:rPr>
          <w:szCs w:val="24"/>
          <w:lang w:val="en-GB"/>
        </w:rPr>
        <w:t xml:space="preserve">not have an adverse effect on human, animal or plant health, on safety, or on the environment, under reasonably foreseeable conditions of storage or use. </w:t>
      </w:r>
    </w:p>
    <w:p w14:paraId="28E99B2E" w14:textId="4E00A393" w:rsidR="00A227F0" w:rsidRPr="00B815E7" w:rsidRDefault="00465070" w:rsidP="00BF7A69">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This implies that, when the </w:t>
      </w:r>
      <w:r w:rsidR="007A6CC1" w:rsidRPr="00F87467">
        <w:rPr>
          <w:rFonts w:ascii="Times New Roman" w:hAnsi="Times New Roman" w:cs="Times New Roman"/>
          <w:sz w:val="24"/>
          <w:szCs w:val="24"/>
        </w:rPr>
        <w:t xml:space="preserve">farmer or other </w:t>
      </w:r>
      <w:r w:rsidRPr="00F87467">
        <w:rPr>
          <w:rFonts w:ascii="Times New Roman" w:hAnsi="Times New Roman" w:cs="Times New Roman"/>
          <w:sz w:val="24"/>
          <w:szCs w:val="24"/>
        </w:rPr>
        <w:t xml:space="preserve">user applies the blend to the soil, the result should be no different from the result of applying the two component fertilising products </w:t>
      </w:r>
      <w:r w:rsidR="007A6CC1" w:rsidRPr="00B815E7">
        <w:rPr>
          <w:rFonts w:ascii="Times New Roman" w:hAnsi="Times New Roman" w:cs="Times New Roman"/>
          <w:sz w:val="24"/>
          <w:szCs w:val="24"/>
        </w:rPr>
        <w:t xml:space="preserve">simultaneously but </w:t>
      </w:r>
      <w:r w:rsidRPr="00B815E7">
        <w:rPr>
          <w:rFonts w:ascii="Times New Roman" w:hAnsi="Times New Roman" w:cs="Times New Roman"/>
          <w:sz w:val="24"/>
          <w:szCs w:val="24"/>
        </w:rPr>
        <w:t xml:space="preserve">separately. </w:t>
      </w:r>
    </w:p>
    <w:p w14:paraId="099025F5" w14:textId="1DCAEE56" w:rsidR="00F90EED" w:rsidRPr="00F87467" w:rsidRDefault="0029704E" w:rsidP="00BF7A69">
      <w:pPr>
        <w:jc w:val="both"/>
        <w:rPr>
          <w:rFonts w:ascii="Times New Roman" w:hAnsi="Times New Roman" w:cs="Times New Roman"/>
          <w:sz w:val="24"/>
          <w:szCs w:val="24"/>
        </w:rPr>
      </w:pPr>
      <w:r>
        <w:rPr>
          <w:rFonts w:ascii="Times New Roman" w:hAnsi="Times New Roman" w:cs="Times New Roman"/>
          <w:sz w:val="24"/>
          <w:szCs w:val="24"/>
        </w:rPr>
        <w:t>As an example, a</w:t>
      </w:r>
      <w:r w:rsidR="00F90EED" w:rsidRPr="00B815E7">
        <w:rPr>
          <w:rFonts w:ascii="Times New Roman" w:hAnsi="Times New Roman" w:cs="Times New Roman"/>
          <w:sz w:val="24"/>
          <w:szCs w:val="24"/>
        </w:rPr>
        <w:t xml:space="preserve"> </w:t>
      </w:r>
      <w:r w:rsidR="00845680" w:rsidRPr="00B815E7">
        <w:rPr>
          <w:rFonts w:ascii="Times New Roman" w:hAnsi="Times New Roman" w:cs="Times New Roman"/>
          <w:sz w:val="24"/>
          <w:szCs w:val="24"/>
        </w:rPr>
        <w:t xml:space="preserve">mere </w:t>
      </w:r>
      <w:r w:rsidR="00F90EED" w:rsidRPr="00B815E7">
        <w:rPr>
          <w:rFonts w:ascii="Times New Roman" w:hAnsi="Times New Roman" w:cs="Times New Roman"/>
          <w:sz w:val="24"/>
          <w:szCs w:val="24"/>
        </w:rPr>
        <w:t xml:space="preserve">change of the pH of </w:t>
      </w:r>
      <w:r w:rsidR="00F04C0F" w:rsidRPr="00B815E7">
        <w:rPr>
          <w:rFonts w:ascii="Times New Roman" w:hAnsi="Times New Roman" w:cs="Times New Roman"/>
          <w:sz w:val="24"/>
          <w:szCs w:val="24"/>
        </w:rPr>
        <w:t>a component</w:t>
      </w:r>
      <w:r w:rsidR="00F04C0F">
        <w:rPr>
          <w:rFonts w:ascii="Times New Roman" w:hAnsi="Times New Roman" w:cs="Times New Roman"/>
          <w:sz w:val="24"/>
          <w:szCs w:val="24"/>
        </w:rPr>
        <w:t xml:space="preserve"> fertilising product in </w:t>
      </w:r>
      <w:r w:rsidR="00F90EED" w:rsidRPr="00963350">
        <w:rPr>
          <w:rFonts w:ascii="Times New Roman" w:hAnsi="Times New Roman" w:cs="Times New Roman"/>
          <w:sz w:val="24"/>
          <w:szCs w:val="24"/>
        </w:rPr>
        <w:t xml:space="preserve">the blend as a result of mixing EU fertilising products with different pH </w:t>
      </w:r>
      <w:r w:rsidR="00F90780">
        <w:rPr>
          <w:rFonts w:ascii="Times New Roman" w:hAnsi="Times New Roman" w:cs="Times New Roman"/>
          <w:sz w:val="24"/>
          <w:szCs w:val="24"/>
        </w:rPr>
        <w:t xml:space="preserve">values </w:t>
      </w:r>
      <w:r w:rsidR="00F90EED" w:rsidRPr="00963350">
        <w:rPr>
          <w:rFonts w:ascii="Times New Roman" w:hAnsi="Times New Roman" w:cs="Times New Roman"/>
          <w:sz w:val="24"/>
          <w:szCs w:val="24"/>
        </w:rPr>
        <w:t>should not be considered as a change in the nature of the products blended</w:t>
      </w:r>
      <w:r w:rsidR="0078013D">
        <w:rPr>
          <w:rFonts w:ascii="Times New Roman" w:hAnsi="Times New Roman" w:cs="Times New Roman"/>
          <w:sz w:val="24"/>
          <w:szCs w:val="24"/>
        </w:rPr>
        <w:t xml:space="preserve">, if the same change of pH would have occurred </w:t>
      </w:r>
      <w:r w:rsidR="00354B19">
        <w:rPr>
          <w:rFonts w:ascii="Times New Roman" w:hAnsi="Times New Roman" w:cs="Times New Roman"/>
          <w:sz w:val="24"/>
          <w:szCs w:val="24"/>
        </w:rPr>
        <w:t>if the farmer or user would have applied</w:t>
      </w:r>
      <w:r w:rsidR="00354B19" w:rsidRPr="00F87467">
        <w:rPr>
          <w:rFonts w:ascii="Times New Roman" w:hAnsi="Times New Roman" w:cs="Times New Roman"/>
          <w:sz w:val="24"/>
          <w:szCs w:val="24"/>
        </w:rPr>
        <w:t xml:space="preserve"> the two component fertilising products simultaneously but separately</w:t>
      </w:r>
      <w:r w:rsidR="00354B19">
        <w:rPr>
          <w:rFonts w:ascii="Times New Roman" w:hAnsi="Times New Roman" w:cs="Times New Roman"/>
          <w:sz w:val="24"/>
          <w:szCs w:val="24"/>
        </w:rPr>
        <w:t xml:space="preserve"> to the soil</w:t>
      </w:r>
      <w:r w:rsidR="00F90EED" w:rsidRPr="00FD5F9B">
        <w:rPr>
          <w:rFonts w:ascii="Times New Roman" w:hAnsi="Times New Roman" w:cs="Times New Roman"/>
          <w:sz w:val="24"/>
          <w:szCs w:val="24"/>
        </w:rPr>
        <w:t xml:space="preserve">. </w:t>
      </w:r>
      <w:r w:rsidR="00963350" w:rsidRPr="00FD5F9B">
        <w:rPr>
          <w:rFonts w:ascii="Times New Roman" w:hAnsi="Times New Roman" w:cs="Times New Roman"/>
          <w:sz w:val="24"/>
          <w:szCs w:val="24"/>
        </w:rPr>
        <w:t xml:space="preserve">The pH value of a product is calculated by using the </w:t>
      </w:r>
      <w:r w:rsidR="008A769A" w:rsidRPr="00FD5F9B">
        <w:rPr>
          <w:rFonts w:ascii="Times New Roman" w:hAnsi="Times New Roman" w:cs="Times New Roman"/>
          <w:sz w:val="24"/>
          <w:szCs w:val="24"/>
        </w:rPr>
        <w:t xml:space="preserve">logarithmic </w:t>
      </w:r>
      <w:r w:rsidR="00963350" w:rsidRPr="00FD5F9B">
        <w:rPr>
          <w:rFonts w:ascii="Times New Roman" w:hAnsi="Times New Roman" w:cs="Times New Roman"/>
          <w:sz w:val="24"/>
          <w:szCs w:val="24"/>
        </w:rPr>
        <w:t xml:space="preserve">concentration of hydrogen ions in it. When blending two component products that have different pH values, the resulting product blend will have a pH value that corresponds to the average concentrations of hydrogen ions provided by the </w:t>
      </w:r>
      <w:r w:rsidR="00F90780" w:rsidRPr="00FD5F9B">
        <w:rPr>
          <w:rFonts w:ascii="Times New Roman" w:hAnsi="Times New Roman" w:cs="Times New Roman"/>
          <w:sz w:val="24"/>
          <w:szCs w:val="24"/>
        </w:rPr>
        <w:t xml:space="preserve">two </w:t>
      </w:r>
      <w:r w:rsidR="00963350" w:rsidRPr="00FD5F9B">
        <w:rPr>
          <w:rFonts w:ascii="Times New Roman" w:hAnsi="Times New Roman" w:cs="Times New Roman"/>
          <w:iCs/>
          <w:sz w:val="24"/>
          <w:szCs w:val="24"/>
        </w:rPr>
        <w:t>component</w:t>
      </w:r>
      <w:r w:rsidR="00963350" w:rsidRPr="00FD5F9B">
        <w:rPr>
          <w:rFonts w:ascii="Times New Roman" w:hAnsi="Times New Roman" w:cs="Times New Roman"/>
          <w:sz w:val="24"/>
          <w:szCs w:val="24"/>
        </w:rPr>
        <w:t> products</w:t>
      </w:r>
      <w:r w:rsidR="00354B19" w:rsidRPr="00FD5F9B">
        <w:rPr>
          <w:rFonts w:ascii="Times New Roman" w:hAnsi="Times New Roman" w:cs="Times New Roman"/>
          <w:sz w:val="24"/>
          <w:szCs w:val="24"/>
        </w:rPr>
        <w:t>.</w:t>
      </w:r>
    </w:p>
    <w:p w14:paraId="73B4BF84" w14:textId="6703FA94" w:rsidR="00A227F0" w:rsidRPr="00F87467" w:rsidRDefault="00A227F0" w:rsidP="00BF7A69">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In addition, the blender has the following obligations:</w:t>
      </w:r>
    </w:p>
    <w:p w14:paraId="52BAB97E" w14:textId="5F131F35" w:rsidR="00AE2609" w:rsidRPr="00F87467" w:rsidRDefault="00A227F0" w:rsidP="006E54DF">
      <w:pPr>
        <w:pStyle w:val="ListParagraph"/>
        <w:numPr>
          <w:ilvl w:val="0"/>
          <w:numId w:val="36"/>
        </w:numPr>
        <w:tabs>
          <w:tab w:val="left" w:pos="426"/>
        </w:tabs>
        <w:spacing w:before="60" w:after="60" w:line="276" w:lineRule="auto"/>
        <w:jc w:val="both"/>
        <w:rPr>
          <w:szCs w:val="24"/>
          <w:lang w:val="en-GB"/>
        </w:rPr>
      </w:pPr>
      <w:r w:rsidRPr="00F87467">
        <w:rPr>
          <w:szCs w:val="24"/>
          <w:lang w:val="en-GB"/>
        </w:rPr>
        <w:t>to</w:t>
      </w:r>
      <w:r w:rsidR="00AE2609" w:rsidRPr="00F87467">
        <w:rPr>
          <w:szCs w:val="24"/>
          <w:lang w:val="en-GB"/>
        </w:rPr>
        <w:t xml:space="preserve"> ensure that </w:t>
      </w:r>
      <w:r w:rsidRPr="00F87467">
        <w:rPr>
          <w:szCs w:val="24"/>
          <w:lang w:val="en-GB"/>
        </w:rPr>
        <w:t xml:space="preserve">the </w:t>
      </w:r>
      <w:r w:rsidR="00AE2609" w:rsidRPr="00F87467">
        <w:rPr>
          <w:szCs w:val="24"/>
          <w:lang w:val="en-GB"/>
        </w:rPr>
        <w:t xml:space="preserve">blend is compliant with the corresponding labelling requirements laid down in </w:t>
      </w:r>
      <w:r w:rsidRPr="00F87467">
        <w:rPr>
          <w:szCs w:val="24"/>
          <w:lang w:val="en-GB"/>
        </w:rPr>
        <w:t xml:space="preserve">the </w:t>
      </w:r>
      <w:hyperlink r:id="rId81" w:history="1">
        <w:r w:rsidRPr="00D53265">
          <w:rPr>
            <w:rStyle w:val="Hyperlink"/>
            <w:szCs w:val="24"/>
            <w:lang w:val="en-GB"/>
          </w:rPr>
          <w:t>FPR</w:t>
        </w:r>
      </w:hyperlink>
      <w:r w:rsidRPr="00F87467">
        <w:rPr>
          <w:szCs w:val="24"/>
          <w:lang w:val="en-GB"/>
        </w:rPr>
        <w:t xml:space="preserve"> (</w:t>
      </w:r>
      <w:r w:rsidR="00AE2609" w:rsidRPr="00F87467">
        <w:rPr>
          <w:szCs w:val="24"/>
          <w:lang w:val="en-GB"/>
        </w:rPr>
        <w:t>Annex III</w:t>
      </w:r>
      <w:r w:rsidRPr="00F87467">
        <w:rPr>
          <w:szCs w:val="24"/>
          <w:lang w:val="en-GB"/>
        </w:rPr>
        <w:t>)</w:t>
      </w:r>
      <w:r w:rsidR="00AE2609" w:rsidRPr="00F87467">
        <w:rPr>
          <w:szCs w:val="24"/>
          <w:lang w:val="en-GB"/>
        </w:rPr>
        <w:t xml:space="preserve"> </w:t>
      </w:r>
    </w:p>
    <w:p w14:paraId="30A5C4D6" w14:textId="758B55D3" w:rsidR="00A227F0" w:rsidRPr="00F87467" w:rsidRDefault="00A227F0" w:rsidP="006E54DF">
      <w:pPr>
        <w:pStyle w:val="ListParagraph"/>
        <w:numPr>
          <w:ilvl w:val="0"/>
          <w:numId w:val="36"/>
        </w:numPr>
        <w:tabs>
          <w:tab w:val="left" w:pos="426"/>
        </w:tabs>
        <w:spacing w:before="60" w:after="60" w:line="276" w:lineRule="auto"/>
        <w:jc w:val="both"/>
        <w:rPr>
          <w:szCs w:val="24"/>
          <w:lang w:val="en-GB"/>
        </w:rPr>
      </w:pPr>
      <w:r w:rsidRPr="00F87467">
        <w:rPr>
          <w:szCs w:val="24"/>
          <w:lang w:val="en-GB"/>
        </w:rPr>
        <w:t xml:space="preserve">to </w:t>
      </w:r>
      <w:r w:rsidR="00AE2609" w:rsidRPr="00F87467">
        <w:rPr>
          <w:szCs w:val="24"/>
          <w:lang w:val="en-GB"/>
        </w:rPr>
        <w:t xml:space="preserve">draw up an EU declaration of conformity for the fertilising product blend </w:t>
      </w:r>
    </w:p>
    <w:p w14:paraId="43AB2F54" w14:textId="2A2966E6" w:rsidR="00AE2609" w:rsidRPr="00F87467" w:rsidRDefault="00AE2609" w:rsidP="006E54DF">
      <w:pPr>
        <w:pStyle w:val="ListParagraph"/>
        <w:numPr>
          <w:ilvl w:val="0"/>
          <w:numId w:val="36"/>
        </w:numPr>
        <w:tabs>
          <w:tab w:val="left" w:pos="426"/>
        </w:tabs>
        <w:spacing w:before="60" w:after="60" w:line="276" w:lineRule="auto"/>
        <w:jc w:val="both"/>
        <w:rPr>
          <w:szCs w:val="24"/>
          <w:lang w:val="en-GB"/>
        </w:rPr>
      </w:pPr>
      <w:r w:rsidRPr="00F87467">
        <w:rPr>
          <w:szCs w:val="24"/>
          <w:lang w:val="en-GB"/>
        </w:rPr>
        <w:t>to have in his</w:t>
      </w:r>
      <w:r w:rsidR="006E450E" w:rsidRPr="00F87467">
        <w:rPr>
          <w:szCs w:val="24"/>
          <w:lang w:val="en-GB"/>
        </w:rPr>
        <w:t>/her</w:t>
      </w:r>
      <w:r w:rsidRPr="00F87467">
        <w:rPr>
          <w:szCs w:val="24"/>
          <w:lang w:val="en-GB"/>
        </w:rPr>
        <w:t xml:space="preserve"> possession the EU declaration of conformity of each of the component EU fertilising products used when manufacturing the blend.</w:t>
      </w:r>
    </w:p>
    <w:p w14:paraId="5C8DE9E0" w14:textId="77777777" w:rsidR="00C261E2" w:rsidRPr="00F87467" w:rsidRDefault="00C261E2">
      <w:pPr>
        <w:tabs>
          <w:tab w:val="left" w:pos="426"/>
        </w:tabs>
        <w:spacing w:before="60" w:after="60"/>
        <w:jc w:val="both"/>
        <w:rPr>
          <w:rFonts w:ascii="Times New Roman" w:hAnsi="Times New Roman" w:cs="Times New Roman"/>
          <w:sz w:val="24"/>
          <w:szCs w:val="24"/>
        </w:rPr>
      </w:pPr>
    </w:p>
    <w:p w14:paraId="549810A0" w14:textId="10E509A8" w:rsidR="00AE2609" w:rsidRPr="00F87467" w:rsidRDefault="00AE2609">
      <w:pPr>
        <w:pStyle w:val="Heading2"/>
        <w:spacing w:before="60" w:after="60" w:line="276" w:lineRule="auto"/>
      </w:pPr>
      <w:bookmarkStart w:id="44" w:name="_Toc59185405"/>
      <w:r w:rsidRPr="00F87467">
        <w:t>Is a blender of two EU fertilising products allowed to place the blend on the market without the CE mark, under national rules?</w:t>
      </w:r>
      <w:bookmarkEnd w:id="44"/>
    </w:p>
    <w:p w14:paraId="5E282C37" w14:textId="5E924B5F" w:rsidR="006122C2" w:rsidRPr="00F87467" w:rsidRDefault="006122C2">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Yes. </w:t>
      </w:r>
      <w:r w:rsidR="00AE2609" w:rsidRPr="00F87467">
        <w:rPr>
          <w:rFonts w:ascii="Times New Roman" w:hAnsi="Times New Roman" w:cs="Times New Roman"/>
          <w:sz w:val="24"/>
          <w:szCs w:val="24"/>
        </w:rPr>
        <w:t xml:space="preserve">There is no restriction in </w:t>
      </w:r>
      <w:r w:rsidRPr="00F87467">
        <w:rPr>
          <w:rFonts w:ascii="Times New Roman" w:hAnsi="Times New Roman" w:cs="Times New Roman"/>
          <w:sz w:val="24"/>
          <w:szCs w:val="24"/>
        </w:rPr>
        <w:t xml:space="preserve">the </w:t>
      </w:r>
      <w:hyperlink r:id="rId82" w:history="1">
        <w:r w:rsidR="00AE2609" w:rsidRPr="00D53265">
          <w:rPr>
            <w:rStyle w:val="Hyperlink"/>
            <w:rFonts w:ascii="Times New Roman" w:hAnsi="Times New Roman" w:cs="Times New Roman"/>
            <w:sz w:val="24"/>
            <w:szCs w:val="24"/>
          </w:rPr>
          <w:t>FPR</w:t>
        </w:r>
      </w:hyperlink>
      <w:r w:rsidR="00AE2609" w:rsidRPr="00F87467">
        <w:rPr>
          <w:rFonts w:ascii="Times New Roman" w:hAnsi="Times New Roman" w:cs="Times New Roman"/>
          <w:sz w:val="24"/>
          <w:szCs w:val="24"/>
        </w:rPr>
        <w:t xml:space="preserve"> for the use of EU fertilising products in the production of product</w:t>
      </w:r>
      <w:r w:rsidRPr="00F87467">
        <w:rPr>
          <w:rFonts w:ascii="Times New Roman" w:hAnsi="Times New Roman" w:cs="Times New Roman"/>
          <w:sz w:val="24"/>
          <w:szCs w:val="24"/>
        </w:rPr>
        <w:t>s</w:t>
      </w:r>
      <w:r w:rsidR="00AE2609" w:rsidRPr="00F87467">
        <w:rPr>
          <w:rFonts w:ascii="Times New Roman" w:hAnsi="Times New Roman" w:cs="Times New Roman"/>
          <w:sz w:val="24"/>
          <w:szCs w:val="24"/>
        </w:rPr>
        <w:t xml:space="preserve"> outside the scope of </w:t>
      </w:r>
      <w:r w:rsidRPr="00F87467">
        <w:rPr>
          <w:rFonts w:ascii="Times New Roman" w:hAnsi="Times New Roman" w:cs="Times New Roman"/>
          <w:sz w:val="24"/>
          <w:szCs w:val="24"/>
        </w:rPr>
        <w:t xml:space="preserve">the </w:t>
      </w:r>
      <w:hyperlink r:id="rId83" w:history="1">
        <w:r w:rsidR="00AE2609" w:rsidRPr="00D53265">
          <w:rPr>
            <w:rStyle w:val="Hyperlink"/>
            <w:rFonts w:ascii="Times New Roman" w:hAnsi="Times New Roman" w:cs="Times New Roman"/>
            <w:sz w:val="24"/>
            <w:szCs w:val="24"/>
          </w:rPr>
          <w:t>FPR</w:t>
        </w:r>
      </w:hyperlink>
      <w:r w:rsidR="00AE2609" w:rsidRPr="00F87467">
        <w:rPr>
          <w:rFonts w:ascii="Times New Roman" w:hAnsi="Times New Roman" w:cs="Times New Roman"/>
          <w:sz w:val="24"/>
          <w:szCs w:val="24"/>
        </w:rPr>
        <w:t xml:space="preserve"> and in conformity with other pieces of legislation. </w:t>
      </w:r>
    </w:p>
    <w:p w14:paraId="7C10825F" w14:textId="1DDE0197" w:rsidR="00AE2609" w:rsidRPr="00F87467" w:rsidRDefault="00AE2609">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A blender </w:t>
      </w:r>
      <w:r w:rsidR="007D51AB" w:rsidRPr="00F87467">
        <w:rPr>
          <w:rFonts w:ascii="Times New Roman" w:hAnsi="Times New Roman" w:cs="Times New Roman"/>
          <w:sz w:val="24"/>
          <w:szCs w:val="24"/>
        </w:rPr>
        <w:t xml:space="preserve">may </w:t>
      </w:r>
      <w:r w:rsidRPr="00F87467">
        <w:rPr>
          <w:rFonts w:ascii="Times New Roman" w:hAnsi="Times New Roman" w:cs="Times New Roman"/>
          <w:sz w:val="24"/>
          <w:szCs w:val="24"/>
        </w:rPr>
        <w:t xml:space="preserve">use two or more EU fertilising products to produce </w:t>
      </w:r>
      <w:r w:rsidR="007D51AB" w:rsidRPr="00F87467">
        <w:rPr>
          <w:rFonts w:ascii="Times New Roman" w:hAnsi="Times New Roman" w:cs="Times New Roman"/>
          <w:sz w:val="24"/>
          <w:szCs w:val="24"/>
        </w:rPr>
        <w:t xml:space="preserve">a </w:t>
      </w:r>
      <w:r w:rsidRPr="00F87467">
        <w:rPr>
          <w:rFonts w:ascii="Times New Roman" w:hAnsi="Times New Roman" w:cs="Times New Roman"/>
          <w:sz w:val="24"/>
          <w:szCs w:val="24"/>
        </w:rPr>
        <w:t xml:space="preserve">blend </w:t>
      </w:r>
      <w:r w:rsidR="007D51AB" w:rsidRPr="00F87467">
        <w:rPr>
          <w:rFonts w:ascii="Times New Roman" w:hAnsi="Times New Roman" w:cs="Times New Roman"/>
          <w:sz w:val="24"/>
          <w:szCs w:val="24"/>
        </w:rPr>
        <w:t xml:space="preserve">and </w:t>
      </w:r>
      <w:r w:rsidRPr="00F87467">
        <w:rPr>
          <w:rFonts w:ascii="Times New Roman" w:hAnsi="Times New Roman" w:cs="Times New Roman"/>
          <w:sz w:val="24"/>
          <w:szCs w:val="24"/>
        </w:rPr>
        <w:t xml:space="preserve">decide to place </w:t>
      </w:r>
      <w:r w:rsidR="00BA7C74" w:rsidRPr="00F87467">
        <w:rPr>
          <w:rFonts w:ascii="Times New Roman" w:hAnsi="Times New Roman" w:cs="Times New Roman"/>
          <w:sz w:val="24"/>
          <w:szCs w:val="24"/>
        </w:rPr>
        <w:t xml:space="preserve">it </w:t>
      </w:r>
      <w:r w:rsidRPr="00F87467">
        <w:rPr>
          <w:rFonts w:ascii="Times New Roman" w:hAnsi="Times New Roman" w:cs="Times New Roman"/>
          <w:sz w:val="24"/>
          <w:szCs w:val="24"/>
        </w:rPr>
        <w:t xml:space="preserve">on </w:t>
      </w:r>
      <w:r w:rsidR="00BA7C74" w:rsidRPr="00F87467">
        <w:rPr>
          <w:rFonts w:ascii="Times New Roman" w:hAnsi="Times New Roman" w:cs="Times New Roman"/>
          <w:sz w:val="24"/>
          <w:szCs w:val="24"/>
        </w:rPr>
        <w:t xml:space="preserve">a </w:t>
      </w:r>
      <w:r w:rsidRPr="00F87467">
        <w:rPr>
          <w:rFonts w:ascii="Times New Roman" w:hAnsi="Times New Roman" w:cs="Times New Roman"/>
          <w:sz w:val="24"/>
          <w:szCs w:val="24"/>
        </w:rPr>
        <w:t xml:space="preserve">national market following solely the respective national rules.  </w:t>
      </w:r>
    </w:p>
    <w:p w14:paraId="64F21BE2" w14:textId="3724A2BD" w:rsidR="00616928" w:rsidRPr="00F87467" w:rsidRDefault="00616928">
      <w:pPr>
        <w:spacing w:before="60" w:after="60"/>
        <w:jc w:val="both"/>
        <w:rPr>
          <w:rFonts w:ascii="Times New Roman" w:hAnsi="Times New Roman" w:cs="Times New Roman"/>
          <w:sz w:val="24"/>
          <w:szCs w:val="24"/>
        </w:rPr>
      </w:pPr>
    </w:p>
    <w:p w14:paraId="13840D3F" w14:textId="67964D00" w:rsidR="00616928" w:rsidRPr="00F87467" w:rsidRDefault="00616928" w:rsidP="00E717A1">
      <w:pPr>
        <w:pStyle w:val="Heading1"/>
        <w:numPr>
          <w:ilvl w:val="0"/>
          <w:numId w:val="3"/>
        </w:numPr>
        <w:tabs>
          <w:tab w:val="left" w:pos="426"/>
        </w:tabs>
        <w:spacing w:before="60" w:after="60"/>
        <w:ind w:left="0" w:firstLine="0"/>
        <w:jc w:val="both"/>
        <w:rPr>
          <w:rFonts w:ascii="Times New Roman" w:hAnsi="Times New Roman" w:cs="Times New Roman"/>
          <w:sz w:val="24"/>
          <w:szCs w:val="24"/>
        </w:rPr>
      </w:pPr>
      <w:bookmarkStart w:id="45" w:name="_Toc59185406"/>
      <w:r w:rsidRPr="00F87467">
        <w:rPr>
          <w:rFonts w:ascii="Times New Roman" w:hAnsi="Times New Roman" w:cs="Times New Roman"/>
          <w:sz w:val="24"/>
          <w:szCs w:val="24"/>
        </w:rPr>
        <w:t>Annex II</w:t>
      </w:r>
      <w:r w:rsidR="005B2685" w:rsidRPr="00F87467">
        <w:rPr>
          <w:rFonts w:ascii="Times New Roman" w:hAnsi="Times New Roman" w:cs="Times New Roman"/>
          <w:sz w:val="24"/>
          <w:szCs w:val="24"/>
        </w:rPr>
        <w:t xml:space="preserve"> </w:t>
      </w:r>
      <w:r w:rsidR="00BA7C74" w:rsidRPr="00F87467">
        <w:rPr>
          <w:rFonts w:ascii="Times New Roman" w:hAnsi="Times New Roman" w:cs="Times New Roman"/>
          <w:sz w:val="24"/>
          <w:szCs w:val="24"/>
        </w:rPr>
        <w:t>–</w:t>
      </w:r>
      <w:r w:rsidR="005B2685" w:rsidRPr="00F87467">
        <w:rPr>
          <w:rFonts w:ascii="Times New Roman" w:hAnsi="Times New Roman" w:cs="Times New Roman"/>
          <w:sz w:val="24"/>
          <w:szCs w:val="24"/>
        </w:rPr>
        <w:t xml:space="preserve"> </w:t>
      </w:r>
      <w:r w:rsidR="00BA7C74" w:rsidRPr="00F87467">
        <w:rPr>
          <w:rFonts w:ascii="Times New Roman" w:hAnsi="Times New Roman" w:cs="Times New Roman"/>
          <w:sz w:val="24"/>
          <w:szCs w:val="24"/>
        </w:rPr>
        <w:t>Component Material Category (</w:t>
      </w:r>
      <w:r w:rsidR="005B2685" w:rsidRPr="00F87467">
        <w:rPr>
          <w:rFonts w:ascii="Times New Roman" w:hAnsi="Times New Roman" w:cs="Times New Roman"/>
          <w:sz w:val="24"/>
          <w:szCs w:val="24"/>
        </w:rPr>
        <w:t>CMC</w:t>
      </w:r>
      <w:r w:rsidR="00E00C5E" w:rsidRPr="00F87467">
        <w:rPr>
          <w:rFonts w:ascii="Times New Roman" w:hAnsi="Times New Roman" w:cs="Times New Roman"/>
          <w:sz w:val="24"/>
          <w:szCs w:val="24"/>
        </w:rPr>
        <w:t>)</w:t>
      </w:r>
      <w:bookmarkEnd w:id="45"/>
    </w:p>
    <w:p w14:paraId="5BD549CB" w14:textId="7A44F27E" w:rsidR="005E0960" w:rsidRPr="00F87467" w:rsidRDefault="005E0960" w:rsidP="00F87467">
      <w:pPr>
        <w:pStyle w:val="Heading2"/>
        <w:spacing w:before="60" w:after="60" w:line="276" w:lineRule="auto"/>
      </w:pPr>
      <w:bookmarkStart w:id="46" w:name="_Toc59185407"/>
      <w:r w:rsidRPr="00F87467">
        <w:t>What may EU fertilising products contain/consist of?</w:t>
      </w:r>
      <w:bookmarkEnd w:id="46"/>
      <w:r w:rsidRPr="00F87467">
        <w:t xml:space="preserve"> </w:t>
      </w:r>
    </w:p>
    <w:p w14:paraId="23ADA7EE" w14:textId="38D230E9" w:rsidR="005E0960" w:rsidRPr="00F87467" w:rsidRDefault="005E0960" w:rsidP="00F87467">
      <w:pPr>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EU fertilising products may consist solely of materials complying with the requirements for one or more of the component material categories listed in the </w:t>
      </w:r>
      <w:hyperlink r:id="rId84"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w:t>
      </w:r>
    </w:p>
    <w:p w14:paraId="581023E9" w14:textId="77777777" w:rsidR="005E0960" w:rsidRPr="00F87467" w:rsidRDefault="005E0960" w:rsidP="00F87467">
      <w:pPr>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There are 11 component material categories:  </w:t>
      </w:r>
    </w:p>
    <w:p w14:paraId="1316C99C" w14:textId="77777777" w:rsidR="005E0960" w:rsidRPr="00F87467" w:rsidRDefault="005E0960" w:rsidP="00E717A1">
      <w:pPr>
        <w:pStyle w:val="ListParagraph"/>
        <w:numPr>
          <w:ilvl w:val="0"/>
          <w:numId w:val="12"/>
        </w:numPr>
        <w:spacing w:before="60" w:after="60" w:line="276" w:lineRule="auto"/>
        <w:jc w:val="both"/>
        <w:rPr>
          <w:szCs w:val="24"/>
          <w:lang w:val="en-GB"/>
        </w:rPr>
      </w:pPr>
      <w:r w:rsidRPr="00F87467">
        <w:rPr>
          <w:szCs w:val="24"/>
          <w:lang w:val="en-GB"/>
        </w:rPr>
        <w:t xml:space="preserve">Virgin material substances and mixtures </w:t>
      </w:r>
    </w:p>
    <w:p w14:paraId="7141F35E" w14:textId="77777777" w:rsidR="005E0960" w:rsidRPr="00F87467" w:rsidRDefault="005E0960" w:rsidP="00E717A1">
      <w:pPr>
        <w:pStyle w:val="ListParagraph"/>
        <w:numPr>
          <w:ilvl w:val="0"/>
          <w:numId w:val="12"/>
        </w:numPr>
        <w:spacing w:before="60" w:after="60" w:line="276" w:lineRule="auto"/>
        <w:jc w:val="both"/>
        <w:rPr>
          <w:i/>
          <w:szCs w:val="24"/>
          <w:lang w:val="en-GB"/>
        </w:rPr>
      </w:pPr>
      <w:r w:rsidRPr="00F87467">
        <w:rPr>
          <w:szCs w:val="24"/>
          <w:lang w:val="en-GB"/>
        </w:rPr>
        <w:t xml:space="preserve">Plants, plant parts or plant extracts </w:t>
      </w:r>
    </w:p>
    <w:p w14:paraId="07F7FC2B" w14:textId="77777777" w:rsidR="005E0960" w:rsidRPr="00F87467" w:rsidRDefault="005E0960" w:rsidP="00E717A1">
      <w:pPr>
        <w:pStyle w:val="ListParagraph"/>
        <w:numPr>
          <w:ilvl w:val="0"/>
          <w:numId w:val="12"/>
        </w:numPr>
        <w:spacing w:before="60" w:after="60" w:line="276" w:lineRule="auto"/>
        <w:jc w:val="both"/>
        <w:rPr>
          <w:szCs w:val="24"/>
          <w:lang w:val="en-GB"/>
        </w:rPr>
      </w:pPr>
      <w:r w:rsidRPr="00F87467">
        <w:rPr>
          <w:szCs w:val="24"/>
          <w:lang w:val="en-GB"/>
        </w:rPr>
        <w:t xml:space="preserve">Compost </w:t>
      </w:r>
    </w:p>
    <w:p w14:paraId="1A1D4104" w14:textId="77777777" w:rsidR="005E0960" w:rsidRPr="00F87467" w:rsidRDefault="005E0960" w:rsidP="00E717A1">
      <w:pPr>
        <w:pStyle w:val="ListParagraph"/>
        <w:numPr>
          <w:ilvl w:val="0"/>
          <w:numId w:val="12"/>
        </w:numPr>
        <w:spacing w:before="60" w:after="60" w:line="276" w:lineRule="auto"/>
        <w:jc w:val="both"/>
        <w:rPr>
          <w:szCs w:val="24"/>
          <w:lang w:val="en-GB"/>
        </w:rPr>
      </w:pPr>
      <w:r w:rsidRPr="00F87467">
        <w:rPr>
          <w:szCs w:val="24"/>
          <w:lang w:val="en-GB"/>
        </w:rPr>
        <w:lastRenderedPageBreak/>
        <w:t xml:space="preserve">Fresh crop digestate </w:t>
      </w:r>
    </w:p>
    <w:p w14:paraId="29CFFD81" w14:textId="77777777" w:rsidR="005E0960" w:rsidRPr="00F87467" w:rsidRDefault="005E0960" w:rsidP="00E717A1">
      <w:pPr>
        <w:pStyle w:val="ListParagraph"/>
        <w:numPr>
          <w:ilvl w:val="0"/>
          <w:numId w:val="12"/>
        </w:numPr>
        <w:spacing w:before="60" w:after="60" w:line="276" w:lineRule="auto"/>
        <w:jc w:val="both"/>
        <w:rPr>
          <w:i/>
          <w:szCs w:val="24"/>
          <w:lang w:val="en-GB"/>
        </w:rPr>
      </w:pPr>
      <w:r w:rsidRPr="00F87467">
        <w:rPr>
          <w:szCs w:val="24"/>
          <w:lang w:val="en-GB"/>
        </w:rPr>
        <w:t xml:space="preserve">Digestate other than fresh crop digestate </w:t>
      </w:r>
    </w:p>
    <w:p w14:paraId="0DD40278" w14:textId="77777777" w:rsidR="005E0960" w:rsidRPr="00F87467" w:rsidRDefault="005E0960" w:rsidP="00E717A1">
      <w:pPr>
        <w:pStyle w:val="ListParagraph"/>
        <w:numPr>
          <w:ilvl w:val="0"/>
          <w:numId w:val="12"/>
        </w:numPr>
        <w:spacing w:before="60" w:after="60" w:line="276" w:lineRule="auto"/>
        <w:jc w:val="both"/>
        <w:rPr>
          <w:szCs w:val="24"/>
          <w:lang w:val="en-GB"/>
        </w:rPr>
      </w:pPr>
      <w:r w:rsidRPr="00F87467">
        <w:rPr>
          <w:szCs w:val="24"/>
          <w:lang w:val="en-GB"/>
        </w:rPr>
        <w:t xml:space="preserve">Food industry by-products </w:t>
      </w:r>
    </w:p>
    <w:p w14:paraId="342A3E5C" w14:textId="77777777" w:rsidR="005E0960" w:rsidRPr="00F87467" w:rsidRDefault="005E0960" w:rsidP="00E717A1">
      <w:pPr>
        <w:pStyle w:val="ListParagraph"/>
        <w:numPr>
          <w:ilvl w:val="0"/>
          <w:numId w:val="12"/>
        </w:numPr>
        <w:spacing w:before="60" w:after="60" w:line="276" w:lineRule="auto"/>
        <w:jc w:val="both"/>
        <w:rPr>
          <w:szCs w:val="24"/>
          <w:lang w:val="en-GB"/>
        </w:rPr>
      </w:pPr>
      <w:r w:rsidRPr="00F87467">
        <w:rPr>
          <w:szCs w:val="24"/>
          <w:lang w:val="en-GB"/>
        </w:rPr>
        <w:t xml:space="preserve">Micro-organisms </w:t>
      </w:r>
    </w:p>
    <w:p w14:paraId="7AD4E462" w14:textId="77777777" w:rsidR="005E0960" w:rsidRPr="00F87467" w:rsidRDefault="005E0960" w:rsidP="00E717A1">
      <w:pPr>
        <w:pStyle w:val="ListParagraph"/>
        <w:numPr>
          <w:ilvl w:val="0"/>
          <w:numId w:val="12"/>
        </w:numPr>
        <w:spacing w:before="60" w:after="60" w:line="276" w:lineRule="auto"/>
        <w:jc w:val="both"/>
        <w:rPr>
          <w:szCs w:val="24"/>
          <w:lang w:val="en-GB"/>
        </w:rPr>
      </w:pPr>
      <w:r w:rsidRPr="00F87467">
        <w:rPr>
          <w:szCs w:val="24"/>
          <w:lang w:val="en-GB"/>
        </w:rPr>
        <w:t xml:space="preserve">Nutrient polymers </w:t>
      </w:r>
    </w:p>
    <w:p w14:paraId="711C672A" w14:textId="77777777" w:rsidR="005E0960" w:rsidRPr="00F87467" w:rsidRDefault="005E0960" w:rsidP="00E717A1">
      <w:pPr>
        <w:pStyle w:val="ListParagraph"/>
        <w:numPr>
          <w:ilvl w:val="0"/>
          <w:numId w:val="12"/>
        </w:numPr>
        <w:spacing w:before="60" w:after="60" w:line="276" w:lineRule="auto"/>
        <w:jc w:val="both"/>
        <w:rPr>
          <w:szCs w:val="24"/>
          <w:lang w:val="en-GB"/>
        </w:rPr>
      </w:pPr>
      <w:r w:rsidRPr="00F87467">
        <w:rPr>
          <w:szCs w:val="24"/>
          <w:lang w:val="en-GB"/>
        </w:rPr>
        <w:t xml:space="preserve">Polymers other than nutrient polymers </w:t>
      </w:r>
    </w:p>
    <w:p w14:paraId="4C82FB95" w14:textId="651092B4" w:rsidR="005E0960" w:rsidRPr="00F87467" w:rsidRDefault="005E0960" w:rsidP="00E717A1">
      <w:pPr>
        <w:pStyle w:val="ListParagraph"/>
        <w:numPr>
          <w:ilvl w:val="0"/>
          <w:numId w:val="12"/>
        </w:numPr>
        <w:spacing w:before="60" w:after="60" w:line="276" w:lineRule="auto"/>
        <w:jc w:val="both"/>
        <w:rPr>
          <w:i/>
          <w:szCs w:val="24"/>
          <w:lang w:val="en-GB"/>
        </w:rPr>
      </w:pPr>
      <w:r w:rsidRPr="00F87467">
        <w:rPr>
          <w:szCs w:val="24"/>
          <w:lang w:val="en-GB"/>
        </w:rPr>
        <w:t xml:space="preserve">Derived products within the meaning of the </w:t>
      </w:r>
      <w:hyperlink r:id="rId85" w:history="1">
        <w:r w:rsidR="00183277" w:rsidRPr="00D53265">
          <w:rPr>
            <w:rStyle w:val="Hyperlink"/>
            <w:szCs w:val="24"/>
            <w:lang w:val="en-GB"/>
          </w:rPr>
          <w:t>ABPR</w:t>
        </w:r>
      </w:hyperlink>
    </w:p>
    <w:p w14:paraId="3F19A9F3" w14:textId="36178A3F" w:rsidR="005E0960" w:rsidRPr="00F87467" w:rsidRDefault="005E0960" w:rsidP="00E717A1">
      <w:pPr>
        <w:pStyle w:val="ListParagraph"/>
        <w:numPr>
          <w:ilvl w:val="0"/>
          <w:numId w:val="12"/>
        </w:numPr>
        <w:spacing w:before="60" w:after="60" w:line="276" w:lineRule="auto"/>
        <w:jc w:val="both"/>
        <w:rPr>
          <w:i/>
          <w:szCs w:val="24"/>
          <w:lang w:val="en-GB"/>
        </w:rPr>
      </w:pPr>
      <w:r w:rsidRPr="00F87467">
        <w:rPr>
          <w:szCs w:val="24"/>
          <w:lang w:val="en-GB"/>
        </w:rPr>
        <w:t xml:space="preserve">By-products within the meaning of the </w:t>
      </w:r>
      <w:hyperlink r:id="rId86" w:history="1">
        <w:r w:rsidR="00183277" w:rsidRPr="00D03F57">
          <w:rPr>
            <w:rStyle w:val="Hyperlink"/>
            <w:szCs w:val="24"/>
            <w:lang w:val="en-GB"/>
          </w:rPr>
          <w:t>WFD</w:t>
        </w:r>
        <w:r w:rsidRPr="00D03F57">
          <w:rPr>
            <w:rStyle w:val="Hyperlink"/>
            <w:szCs w:val="24"/>
            <w:lang w:val="en-GB"/>
          </w:rPr>
          <w:t xml:space="preserve"> </w:t>
        </w:r>
      </w:hyperlink>
      <w:r w:rsidRPr="00F87467">
        <w:rPr>
          <w:szCs w:val="24"/>
          <w:lang w:val="en-GB"/>
        </w:rPr>
        <w:t xml:space="preserve"> </w:t>
      </w:r>
    </w:p>
    <w:p w14:paraId="5699B15C" w14:textId="121A4BFB" w:rsidR="005E0960" w:rsidRPr="00F87467" w:rsidRDefault="005E0960" w:rsidP="00F87467">
      <w:pPr>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The </w:t>
      </w:r>
      <w:hyperlink r:id="rId87"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lays down different rules for each component material category regarding, for instance, the input materials or the processing methods.  </w:t>
      </w:r>
    </w:p>
    <w:p w14:paraId="6135E758" w14:textId="54C83E59" w:rsidR="005E0960" w:rsidRPr="00F87467" w:rsidRDefault="005E0960" w:rsidP="00F87467">
      <w:pPr>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For more details, see Annex II to the </w:t>
      </w:r>
      <w:hyperlink r:id="rId88"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w:t>
      </w:r>
    </w:p>
    <w:p w14:paraId="41562CA9" w14:textId="77777777" w:rsidR="005E0960" w:rsidRPr="00F87467" w:rsidRDefault="005E0960" w:rsidP="00F87467">
      <w:pPr>
        <w:spacing w:before="60" w:after="60"/>
        <w:jc w:val="both"/>
        <w:rPr>
          <w:rFonts w:ascii="Times New Roman" w:hAnsi="Times New Roman" w:cs="Times New Roman"/>
          <w:sz w:val="24"/>
          <w:szCs w:val="24"/>
        </w:rPr>
      </w:pPr>
    </w:p>
    <w:p w14:paraId="5AB54F10" w14:textId="316A9B79" w:rsidR="00AA61F4" w:rsidRPr="00F87467" w:rsidRDefault="001E51E5" w:rsidP="00F87467">
      <w:pPr>
        <w:pStyle w:val="Heading2"/>
        <w:spacing w:before="60" w:after="60" w:line="276" w:lineRule="auto"/>
      </w:pPr>
      <w:r w:rsidRPr="00F87467">
        <w:t xml:space="preserve"> </w:t>
      </w:r>
      <w:bookmarkStart w:id="47" w:name="_Toc59185408"/>
      <w:r w:rsidR="00AA61F4" w:rsidRPr="00F87467">
        <w:t>How does a manufacturer demonstrate that the product placed on the market consists “solely” of CMCs? Is the manufacturer required to produce a list of all CMCs present in the final product indicating the % of each one</w:t>
      </w:r>
      <w:r w:rsidR="003F2B9E">
        <w:t>?</w:t>
      </w:r>
      <w:bookmarkEnd w:id="47"/>
    </w:p>
    <w:p w14:paraId="75F14FE3" w14:textId="7E1F2BC9" w:rsidR="00CF51AF" w:rsidRPr="00F87467" w:rsidRDefault="009177CE" w:rsidP="00F87467">
      <w:pPr>
        <w:spacing w:before="60" w:after="60"/>
        <w:jc w:val="both"/>
        <w:rPr>
          <w:rFonts w:ascii="Times New Roman" w:hAnsi="Times New Roman" w:cs="Times New Roman"/>
          <w:sz w:val="24"/>
          <w:szCs w:val="24"/>
        </w:rPr>
      </w:pPr>
      <w:r w:rsidRPr="00F87467">
        <w:rPr>
          <w:rFonts w:ascii="Times New Roman" w:hAnsi="Times New Roman" w:cs="Times New Roman"/>
          <w:sz w:val="24"/>
          <w:szCs w:val="24"/>
        </w:rPr>
        <w:t>T</w:t>
      </w:r>
      <w:r w:rsidR="004940ED" w:rsidRPr="00F87467">
        <w:rPr>
          <w:rFonts w:ascii="Times New Roman" w:hAnsi="Times New Roman" w:cs="Times New Roman"/>
          <w:sz w:val="24"/>
          <w:szCs w:val="24"/>
        </w:rPr>
        <w:t xml:space="preserve">he manufacturer has to </w:t>
      </w:r>
      <w:r w:rsidRPr="00F87467">
        <w:rPr>
          <w:rFonts w:ascii="Times New Roman" w:hAnsi="Times New Roman" w:cs="Times New Roman"/>
          <w:sz w:val="24"/>
          <w:szCs w:val="24"/>
        </w:rPr>
        <w:t xml:space="preserve">draw up </w:t>
      </w:r>
      <w:r w:rsidR="004940ED" w:rsidRPr="00F87467">
        <w:rPr>
          <w:rFonts w:ascii="Times New Roman" w:hAnsi="Times New Roman" w:cs="Times New Roman"/>
          <w:sz w:val="24"/>
          <w:szCs w:val="24"/>
        </w:rPr>
        <w:t xml:space="preserve">the technical documentation in support of the conformity assessment of his/her </w:t>
      </w:r>
      <w:r w:rsidR="00423BC6" w:rsidRPr="00F87467">
        <w:rPr>
          <w:rFonts w:ascii="Times New Roman" w:hAnsi="Times New Roman" w:cs="Times New Roman"/>
          <w:sz w:val="24"/>
          <w:szCs w:val="24"/>
        </w:rPr>
        <w:t xml:space="preserve">fertilising </w:t>
      </w:r>
      <w:r w:rsidR="004940ED" w:rsidRPr="00F87467">
        <w:rPr>
          <w:rFonts w:ascii="Times New Roman" w:hAnsi="Times New Roman" w:cs="Times New Roman"/>
          <w:sz w:val="24"/>
          <w:szCs w:val="24"/>
        </w:rPr>
        <w:t xml:space="preserve">product. The technical documentation, among others, </w:t>
      </w:r>
      <w:r w:rsidRPr="00F87467">
        <w:rPr>
          <w:rFonts w:ascii="Times New Roman" w:hAnsi="Times New Roman" w:cs="Times New Roman"/>
          <w:sz w:val="24"/>
          <w:szCs w:val="24"/>
        </w:rPr>
        <w:t xml:space="preserve">has to </w:t>
      </w:r>
      <w:r w:rsidR="004940ED" w:rsidRPr="00F87467">
        <w:rPr>
          <w:rFonts w:ascii="Times New Roman" w:hAnsi="Times New Roman" w:cs="Times New Roman"/>
          <w:sz w:val="24"/>
          <w:szCs w:val="24"/>
        </w:rPr>
        <w:t xml:space="preserve">contain a list of every component material used in the final </w:t>
      </w:r>
      <w:r w:rsidR="006B2D63" w:rsidRPr="00F87467">
        <w:rPr>
          <w:rFonts w:ascii="Times New Roman" w:hAnsi="Times New Roman" w:cs="Times New Roman"/>
          <w:sz w:val="24"/>
          <w:szCs w:val="24"/>
        </w:rPr>
        <w:t>product</w:t>
      </w:r>
      <w:r w:rsidR="004940ED" w:rsidRPr="00F87467">
        <w:rPr>
          <w:rFonts w:ascii="Times New Roman" w:hAnsi="Times New Roman" w:cs="Times New Roman"/>
          <w:sz w:val="24"/>
          <w:szCs w:val="24"/>
        </w:rPr>
        <w:t xml:space="preserve">, with reference to its corresponding CMC and information on its origin or its manufacturing process. </w:t>
      </w:r>
      <w:r w:rsidR="006B2D63" w:rsidRPr="00F87467">
        <w:rPr>
          <w:rFonts w:ascii="Times New Roman" w:hAnsi="Times New Roman" w:cs="Times New Roman"/>
          <w:sz w:val="24"/>
          <w:szCs w:val="24"/>
        </w:rPr>
        <w:t>This</w:t>
      </w:r>
      <w:r w:rsidR="00423BC6" w:rsidRPr="00F87467">
        <w:rPr>
          <w:rFonts w:ascii="Times New Roman" w:hAnsi="Times New Roman" w:cs="Times New Roman"/>
          <w:sz w:val="24"/>
          <w:szCs w:val="24"/>
        </w:rPr>
        <w:t xml:space="preserve"> list </w:t>
      </w:r>
      <w:r w:rsidR="006B2D63" w:rsidRPr="00F87467">
        <w:rPr>
          <w:rFonts w:ascii="Times New Roman" w:hAnsi="Times New Roman" w:cs="Times New Roman"/>
          <w:sz w:val="24"/>
          <w:szCs w:val="24"/>
        </w:rPr>
        <w:t xml:space="preserve">has to </w:t>
      </w:r>
      <w:r w:rsidR="00423BC6" w:rsidRPr="00F87467">
        <w:rPr>
          <w:rFonts w:ascii="Times New Roman" w:hAnsi="Times New Roman" w:cs="Times New Roman"/>
          <w:sz w:val="24"/>
          <w:szCs w:val="24"/>
        </w:rPr>
        <w:t xml:space="preserve">contain all the </w:t>
      </w:r>
      <w:r w:rsidR="006B2D63" w:rsidRPr="00F87467">
        <w:rPr>
          <w:rFonts w:ascii="Times New Roman" w:hAnsi="Times New Roman" w:cs="Times New Roman"/>
          <w:sz w:val="24"/>
          <w:szCs w:val="24"/>
        </w:rPr>
        <w:t xml:space="preserve">component materials </w:t>
      </w:r>
      <w:r w:rsidR="00423BC6" w:rsidRPr="00F87467">
        <w:rPr>
          <w:rFonts w:ascii="Times New Roman" w:hAnsi="Times New Roman" w:cs="Times New Roman"/>
          <w:sz w:val="24"/>
          <w:szCs w:val="24"/>
        </w:rPr>
        <w:t>and consequently no other ingredient</w:t>
      </w:r>
      <w:r w:rsidR="00CF51AF" w:rsidRPr="00F87467">
        <w:rPr>
          <w:rFonts w:ascii="Times New Roman" w:hAnsi="Times New Roman" w:cs="Times New Roman"/>
          <w:sz w:val="24"/>
          <w:szCs w:val="24"/>
        </w:rPr>
        <w:t xml:space="preserve"> deliberately incorporated into the fertilising product</w:t>
      </w:r>
      <w:r w:rsidR="00423BC6" w:rsidRPr="00F87467">
        <w:rPr>
          <w:rFonts w:ascii="Times New Roman" w:hAnsi="Times New Roman" w:cs="Times New Roman"/>
          <w:sz w:val="24"/>
          <w:szCs w:val="24"/>
        </w:rPr>
        <w:t xml:space="preserve"> is expected to be found in the final composition of this fertilising product.</w:t>
      </w:r>
      <w:r w:rsidR="00017961" w:rsidRPr="00F87467">
        <w:rPr>
          <w:rFonts w:ascii="Times New Roman" w:hAnsi="Times New Roman" w:cs="Times New Roman"/>
          <w:sz w:val="24"/>
          <w:szCs w:val="24"/>
        </w:rPr>
        <w:t xml:space="preserve"> </w:t>
      </w:r>
      <w:r w:rsidR="00CF51AF" w:rsidRPr="00F87467">
        <w:rPr>
          <w:rFonts w:ascii="Times New Roman" w:hAnsi="Times New Roman" w:cs="Times New Roman"/>
          <w:sz w:val="24"/>
          <w:szCs w:val="24"/>
        </w:rPr>
        <w:t>This does not concern contaminants as they are not intentionally added.</w:t>
      </w:r>
    </w:p>
    <w:p w14:paraId="63614826" w14:textId="158CFEE7" w:rsidR="00423BC6" w:rsidRPr="00F87467" w:rsidRDefault="00017961" w:rsidP="00F87467">
      <w:pPr>
        <w:spacing w:before="60" w:after="60"/>
        <w:jc w:val="both"/>
        <w:rPr>
          <w:rFonts w:ascii="Times New Roman" w:hAnsi="Times New Roman" w:cs="Times New Roman"/>
          <w:sz w:val="24"/>
          <w:szCs w:val="24"/>
        </w:rPr>
      </w:pPr>
      <w:r w:rsidRPr="00F87467">
        <w:rPr>
          <w:rFonts w:ascii="Times New Roman" w:hAnsi="Times New Roman" w:cs="Times New Roman"/>
          <w:sz w:val="24"/>
          <w:szCs w:val="24"/>
        </w:rPr>
        <w:t>There is no obligation</w:t>
      </w:r>
      <w:r w:rsidR="00CF51AF" w:rsidRPr="00F87467">
        <w:rPr>
          <w:rFonts w:ascii="Times New Roman" w:hAnsi="Times New Roman" w:cs="Times New Roman"/>
          <w:sz w:val="24"/>
          <w:szCs w:val="24"/>
        </w:rPr>
        <w:t xml:space="preserve"> </w:t>
      </w:r>
      <w:r w:rsidRPr="00F87467">
        <w:rPr>
          <w:rFonts w:ascii="Times New Roman" w:hAnsi="Times New Roman" w:cs="Times New Roman"/>
          <w:sz w:val="24"/>
          <w:szCs w:val="24"/>
        </w:rPr>
        <w:t xml:space="preserve">for the manufacturer to declare the actual percentage of each component </w:t>
      </w:r>
      <w:r w:rsidR="006B2D63" w:rsidRPr="00F87467">
        <w:rPr>
          <w:rFonts w:ascii="Times New Roman" w:hAnsi="Times New Roman" w:cs="Times New Roman"/>
          <w:sz w:val="24"/>
          <w:szCs w:val="24"/>
        </w:rPr>
        <w:t xml:space="preserve">material </w:t>
      </w:r>
      <w:r w:rsidRPr="00F87467">
        <w:rPr>
          <w:rFonts w:ascii="Times New Roman" w:hAnsi="Times New Roman" w:cs="Times New Roman"/>
          <w:sz w:val="24"/>
          <w:szCs w:val="24"/>
        </w:rPr>
        <w:t>as part of the final product.</w:t>
      </w:r>
    </w:p>
    <w:p w14:paraId="64D73238" w14:textId="1B657E80" w:rsidR="00AA61F4" w:rsidRPr="00F87467" w:rsidRDefault="00AA61F4" w:rsidP="00F87467">
      <w:pPr>
        <w:spacing w:before="60" w:after="60"/>
        <w:jc w:val="both"/>
        <w:rPr>
          <w:rFonts w:ascii="Times New Roman" w:hAnsi="Times New Roman" w:cs="Times New Roman"/>
          <w:sz w:val="24"/>
          <w:szCs w:val="24"/>
        </w:rPr>
      </w:pPr>
    </w:p>
    <w:p w14:paraId="10158F12" w14:textId="7223335B" w:rsidR="00616928" w:rsidRPr="00F87467" w:rsidRDefault="00616928" w:rsidP="00F87467">
      <w:pPr>
        <w:pStyle w:val="Heading2"/>
        <w:spacing w:before="60" w:after="60" w:line="276" w:lineRule="auto"/>
      </w:pPr>
      <w:bookmarkStart w:id="48" w:name="_Toc59185409"/>
      <w:r w:rsidRPr="00F87467">
        <w:t xml:space="preserve">Can a component material fit under two </w:t>
      </w:r>
      <w:r w:rsidR="006B2D63" w:rsidRPr="00F87467">
        <w:t>CMCs</w:t>
      </w:r>
      <w:r w:rsidRPr="00F87467">
        <w:t xml:space="preserve"> at the same time (e.g. both CMC 1 (virgin substance) and 11 (by-products within the meaning of </w:t>
      </w:r>
      <w:r w:rsidR="00183277" w:rsidRPr="00F87467">
        <w:t>WFD</w:t>
      </w:r>
      <w:r w:rsidRPr="00F87467">
        <w:t xml:space="preserve">), or both CMC 6 (food industry by-products) and 11)? If yes, who decides what </w:t>
      </w:r>
      <w:r w:rsidR="006B2D63" w:rsidRPr="00F87467">
        <w:t>CMC</w:t>
      </w:r>
      <w:r w:rsidRPr="00F87467">
        <w:t xml:space="preserve"> to rely on?</w:t>
      </w:r>
      <w:bookmarkEnd w:id="48"/>
      <w:r w:rsidRPr="00F87467">
        <w:t xml:space="preserve">  </w:t>
      </w:r>
    </w:p>
    <w:p w14:paraId="4CC38AC2" w14:textId="28C33629" w:rsidR="00616928" w:rsidRPr="00F87467" w:rsidRDefault="00616928"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There might be some cases where a component material could comply with the requirements for more than one Component Material Categories (CMCs). In those cases, the manufacturer is free to choose the CMC that suits best his</w:t>
      </w:r>
      <w:r w:rsidR="0064748F" w:rsidRPr="00F87467">
        <w:rPr>
          <w:rFonts w:ascii="Times New Roman" w:hAnsi="Times New Roman" w:cs="Times New Roman"/>
          <w:sz w:val="24"/>
          <w:szCs w:val="24"/>
        </w:rPr>
        <w:t xml:space="preserve"> or her</w:t>
      </w:r>
      <w:r w:rsidRPr="00F87467">
        <w:rPr>
          <w:rFonts w:ascii="Times New Roman" w:hAnsi="Times New Roman" w:cs="Times New Roman"/>
          <w:sz w:val="24"/>
          <w:szCs w:val="24"/>
        </w:rPr>
        <w:t xml:space="preserve"> material and production</w:t>
      </w:r>
      <w:r w:rsidR="0064748F" w:rsidRPr="00F87467">
        <w:rPr>
          <w:rFonts w:ascii="Times New Roman" w:hAnsi="Times New Roman" w:cs="Times New Roman"/>
          <w:sz w:val="24"/>
          <w:szCs w:val="24"/>
        </w:rPr>
        <w:t>.</w:t>
      </w:r>
      <w:r w:rsidRPr="00F87467">
        <w:rPr>
          <w:rFonts w:ascii="Times New Roman" w:hAnsi="Times New Roman" w:cs="Times New Roman"/>
          <w:sz w:val="24"/>
          <w:szCs w:val="24"/>
        </w:rPr>
        <w:t xml:space="preserve"> </w:t>
      </w:r>
      <w:r w:rsidR="0064748F" w:rsidRPr="00F87467">
        <w:rPr>
          <w:rFonts w:ascii="Times New Roman" w:hAnsi="Times New Roman" w:cs="Times New Roman"/>
          <w:sz w:val="24"/>
          <w:szCs w:val="24"/>
        </w:rPr>
        <w:t>T</w:t>
      </w:r>
      <w:r w:rsidRPr="00F87467">
        <w:rPr>
          <w:rFonts w:ascii="Times New Roman" w:hAnsi="Times New Roman" w:cs="Times New Roman"/>
          <w:sz w:val="24"/>
          <w:szCs w:val="24"/>
        </w:rPr>
        <w:t xml:space="preserve">he </w:t>
      </w:r>
      <w:r w:rsidR="0064748F" w:rsidRPr="00F87467">
        <w:rPr>
          <w:rFonts w:ascii="Times New Roman" w:hAnsi="Times New Roman" w:cs="Times New Roman"/>
          <w:sz w:val="24"/>
          <w:szCs w:val="24"/>
        </w:rPr>
        <w:t xml:space="preserve">manufacturer </w:t>
      </w:r>
      <w:r w:rsidRPr="00F87467">
        <w:rPr>
          <w:rFonts w:ascii="Times New Roman" w:hAnsi="Times New Roman" w:cs="Times New Roman"/>
          <w:sz w:val="24"/>
          <w:szCs w:val="24"/>
        </w:rPr>
        <w:t>has to make sure that his</w:t>
      </w:r>
      <w:r w:rsidR="0064748F" w:rsidRPr="00F87467">
        <w:rPr>
          <w:rFonts w:ascii="Times New Roman" w:hAnsi="Times New Roman" w:cs="Times New Roman"/>
          <w:sz w:val="24"/>
          <w:szCs w:val="24"/>
        </w:rPr>
        <w:t>/her</w:t>
      </w:r>
      <w:r w:rsidRPr="00F87467">
        <w:rPr>
          <w:rFonts w:ascii="Times New Roman" w:hAnsi="Times New Roman" w:cs="Times New Roman"/>
          <w:sz w:val="24"/>
          <w:szCs w:val="24"/>
        </w:rPr>
        <w:t xml:space="preserve"> material complies with all the requirements as set for th</w:t>
      </w:r>
      <w:r w:rsidR="0064748F" w:rsidRPr="00F87467">
        <w:rPr>
          <w:rFonts w:ascii="Times New Roman" w:hAnsi="Times New Roman" w:cs="Times New Roman"/>
          <w:sz w:val="24"/>
          <w:szCs w:val="24"/>
        </w:rPr>
        <w:t>e</w:t>
      </w:r>
      <w:r w:rsidRPr="00F87467">
        <w:rPr>
          <w:rFonts w:ascii="Times New Roman" w:hAnsi="Times New Roman" w:cs="Times New Roman"/>
          <w:sz w:val="24"/>
          <w:szCs w:val="24"/>
        </w:rPr>
        <w:t xml:space="preserve"> respective CMC.  </w:t>
      </w:r>
    </w:p>
    <w:p w14:paraId="059BEA41" w14:textId="7B81745E" w:rsidR="004232DF" w:rsidRPr="00F87467" w:rsidRDefault="0064748F"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There are situations where two CMCs are mutually </w:t>
      </w:r>
      <w:r w:rsidRPr="00B16B18">
        <w:rPr>
          <w:rFonts w:ascii="Times New Roman" w:hAnsi="Times New Roman" w:cs="Times New Roman"/>
          <w:sz w:val="24"/>
          <w:szCs w:val="24"/>
        </w:rPr>
        <w:t>exclusive.</w:t>
      </w:r>
      <w:r w:rsidRPr="00B16B18">
        <w:rPr>
          <w:rFonts w:ascii="Times New Roman" w:hAnsi="Times New Roman" w:cs="Times New Roman"/>
          <w:i/>
          <w:sz w:val="24"/>
          <w:szCs w:val="24"/>
        </w:rPr>
        <w:t xml:space="preserve"> </w:t>
      </w:r>
      <w:r w:rsidR="00616928" w:rsidRPr="00B16B18">
        <w:rPr>
          <w:rFonts w:ascii="Times New Roman" w:hAnsi="Times New Roman" w:cs="Times New Roman"/>
          <w:sz w:val="24"/>
          <w:szCs w:val="24"/>
        </w:rPr>
        <w:t>A</w:t>
      </w:r>
      <w:r w:rsidR="00616928" w:rsidRPr="00F87467">
        <w:rPr>
          <w:rFonts w:ascii="Times New Roman" w:hAnsi="Times New Roman" w:cs="Times New Roman"/>
          <w:sz w:val="24"/>
          <w:szCs w:val="24"/>
        </w:rPr>
        <w:t xml:space="preserve"> material that falls under the scope of CMC 11 (by-product within the meaning of </w:t>
      </w:r>
      <w:hyperlink r:id="rId89" w:history="1">
        <w:r w:rsidR="00183277" w:rsidRPr="00D03F57">
          <w:rPr>
            <w:rStyle w:val="Hyperlink"/>
            <w:rFonts w:ascii="Times New Roman" w:hAnsi="Times New Roman" w:cs="Times New Roman"/>
            <w:sz w:val="24"/>
            <w:szCs w:val="24"/>
          </w:rPr>
          <w:t>WFD</w:t>
        </w:r>
      </w:hyperlink>
      <w:r w:rsidR="00616928" w:rsidRPr="00F87467">
        <w:rPr>
          <w:rFonts w:ascii="Times New Roman" w:hAnsi="Times New Roman" w:cs="Times New Roman"/>
          <w:sz w:val="24"/>
          <w:szCs w:val="24"/>
        </w:rPr>
        <w:t xml:space="preserve">) is by definition excluded from the scope of CMC 1 (see Annex II, part II, CMC 1, point </w:t>
      </w:r>
      <w:r w:rsidR="00364EB2" w:rsidRPr="00F87467">
        <w:rPr>
          <w:rFonts w:ascii="Times New Roman" w:hAnsi="Times New Roman" w:cs="Times New Roman"/>
          <w:sz w:val="24"/>
          <w:szCs w:val="24"/>
        </w:rPr>
        <w:t>1</w:t>
      </w:r>
      <w:r w:rsidRPr="00F87467">
        <w:rPr>
          <w:rFonts w:ascii="Times New Roman" w:hAnsi="Times New Roman" w:cs="Times New Roman"/>
          <w:sz w:val="24"/>
          <w:szCs w:val="24"/>
        </w:rPr>
        <w:t>(</w:t>
      </w:r>
      <w:r w:rsidR="00364EB2" w:rsidRPr="00F87467">
        <w:rPr>
          <w:rFonts w:ascii="Times New Roman" w:hAnsi="Times New Roman" w:cs="Times New Roman"/>
          <w:sz w:val="24"/>
          <w:szCs w:val="24"/>
        </w:rPr>
        <w:t>d)</w:t>
      </w:r>
      <w:r w:rsidRPr="00F87467">
        <w:rPr>
          <w:rFonts w:ascii="Times New Roman" w:hAnsi="Times New Roman" w:cs="Times New Roman"/>
          <w:sz w:val="24"/>
          <w:szCs w:val="24"/>
        </w:rPr>
        <w:t>)</w:t>
      </w:r>
      <w:r w:rsidR="00364EB2" w:rsidRPr="00F87467">
        <w:rPr>
          <w:rFonts w:ascii="Times New Roman" w:hAnsi="Times New Roman" w:cs="Times New Roman"/>
          <w:sz w:val="24"/>
          <w:szCs w:val="24"/>
        </w:rPr>
        <w:t xml:space="preserve">. </w:t>
      </w:r>
      <w:r w:rsidR="004232DF" w:rsidRPr="00F87467">
        <w:rPr>
          <w:rFonts w:ascii="Times New Roman" w:hAnsi="Times New Roman" w:cs="Times New Roman"/>
          <w:sz w:val="24"/>
          <w:szCs w:val="24"/>
        </w:rPr>
        <w:t xml:space="preserve">If a by-product is </w:t>
      </w:r>
      <w:r w:rsidR="00297BCD" w:rsidRPr="00F87467">
        <w:rPr>
          <w:rFonts w:ascii="Times New Roman" w:hAnsi="Times New Roman" w:cs="Times New Roman"/>
          <w:sz w:val="24"/>
          <w:szCs w:val="24"/>
        </w:rPr>
        <w:t>chemically reacted</w:t>
      </w:r>
      <w:r w:rsidR="004232DF" w:rsidRPr="00F87467">
        <w:rPr>
          <w:rFonts w:ascii="Times New Roman" w:hAnsi="Times New Roman" w:cs="Times New Roman"/>
          <w:sz w:val="24"/>
          <w:szCs w:val="24"/>
        </w:rPr>
        <w:t xml:space="preserve"> with another substance, then the resulting material can be eligible for CMC 1, as this CMC does not exclude materials derived from by-products. </w:t>
      </w:r>
    </w:p>
    <w:p w14:paraId="347C8FED" w14:textId="406AFE4A" w:rsidR="00616928" w:rsidRPr="00F87467" w:rsidRDefault="00364EB2"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However,</w:t>
      </w:r>
      <w:r w:rsidR="00414377" w:rsidRPr="00F87467">
        <w:rPr>
          <w:rFonts w:ascii="Times New Roman" w:hAnsi="Times New Roman" w:cs="Times New Roman"/>
          <w:sz w:val="24"/>
          <w:szCs w:val="24"/>
        </w:rPr>
        <w:t xml:space="preserve"> </w:t>
      </w:r>
      <w:r w:rsidR="00616928" w:rsidRPr="00F87467">
        <w:rPr>
          <w:rFonts w:ascii="Times New Roman" w:hAnsi="Times New Roman" w:cs="Times New Roman"/>
          <w:sz w:val="24"/>
          <w:szCs w:val="24"/>
        </w:rPr>
        <w:t xml:space="preserve">a food industry by-product that complies with requirements of </w:t>
      </w:r>
      <w:r w:rsidR="0064748F" w:rsidRPr="00F87467">
        <w:rPr>
          <w:rFonts w:ascii="Times New Roman" w:hAnsi="Times New Roman" w:cs="Times New Roman"/>
          <w:sz w:val="24"/>
          <w:szCs w:val="24"/>
        </w:rPr>
        <w:t xml:space="preserve">the </w:t>
      </w:r>
      <w:r w:rsidR="00616928" w:rsidRPr="00F87467">
        <w:rPr>
          <w:rFonts w:ascii="Times New Roman" w:hAnsi="Times New Roman" w:cs="Times New Roman"/>
          <w:sz w:val="24"/>
          <w:szCs w:val="24"/>
        </w:rPr>
        <w:t>CMC 6 could also comply with the requirements set in the CMC 11</w:t>
      </w:r>
      <w:r w:rsidR="00414377" w:rsidRPr="00F87467">
        <w:rPr>
          <w:rFonts w:ascii="Times New Roman" w:hAnsi="Times New Roman" w:cs="Times New Roman"/>
          <w:sz w:val="24"/>
          <w:szCs w:val="24"/>
        </w:rPr>
        <w:t xml:space="preserve">. </w:t>
      </w:r>
    </w:p>
    <w:p w14:paraId="4FE7FB2E" w14:textId="77777777" w:rsidR="00616928" w:rsidRPr="00F87467" w:rsidRDefault="00616928" w:rsidP="00F87467">
      <w:pPr>
        <w:pStyle w:val="ListParagraph"/>
        <w:tabs>
          <w:tab w:val="left" w:pos="426"/>
        </w:tabs>
        <w:spacing w:before="60" w:after="60" w:line="276" w:lineRule="auto"/>
        <w:ind w:left="0"/>
        <w:jc w:val="both"/>
        <w:rPr>
          <w:i/>
          <w:szCs w:val="24"/>
          <w:lang w:val="en-GB"/>
        </w:rPr>
      </w:pPr>
    </w:p>
    <w:p w14:paraId="7E613514" w14:textId="164D85A7" w:rsidR="00616928" w:rsidRPr="00F87467" w:rsidRDefault="00616928" w:rsidP="00F87467">
      <w:pPr>
        <w:pStyle w:val="Heading2"/>
        <w:spacing w:before="60" w:after="60" w:line="276" w:lineRule="auto"/>
      </w:pPr>
      <w:r w:rsidRPr="00F87467">
        <w:t xml:space="preserve"> </w:t>
      </w:r>
      <w:bookmarkStart w:id="49" w:name="_Toc59185410"/>
      <w:r w:rsidR="00D140AE" w:rsidRPr="00F87467">
        <w:t>Is it possible to place on the market in an EU country</w:t>
      </w:r>
      <w:r w:rsidR="00D4150B">
        <w:t>,</w:t>
      </w:r>
      <w:r w:rsidR="00D140AE" w:rsidRPr="00F87467">
        <w:t xml:space="preserve"> EU fertilising products containing compost or digestate even if the compost or digestate therein do not meet the national end-of waste criteria</w:t>
      </w:r>
      <w:r w:rsidRPr="00F87467">
        <w:t>?</w:t>
      </w:r>
      <w:bookmarkEnd w:id="49"/>
    </w:p>
    <w:p w14:paraId="4B2E2659" w14:textId="77777777" w:rsidR="00D140AE" w:rsidRPr="00F87467" w:rsidRDefault="00D140AE"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Yes. </w:t>
      </w:r>
    </w:p>
    <w:p w14:paraId="4481F6E7" w14:textId="7CEE2F63" w:rsidR="00D140AE" w:rsidRPr="00F87467" w:rsidRDefault="00D140AE"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The </w:t>
      </w:r>
      <w:hyperlink r:id="rId90"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is legally binding in all EU countries. Once it is applicable, EU fertilising products containing compost or digestate complying with the requirements of the CMCs 3, 4 or 5 may be placed on the market in any EU country. </w:t>
      </w:r>
    </w:p>
    <w:p w14:paraId="17517494" w14:textId="3D32AC8B" w:rsidR="00414377" w:rsidRPr="00F87467" w:rsidRDefault="00D140AE"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The end-of-waste criteria in CMCs 3, 4 and 5, like any harmonisation rules, may be more restrictive than the national legislation in some EU countries or more permissive in others. However, this does not have an impact on placing CE marked products on the market. In the same way, the end-of-waste criteria in the </w:t>
      </w:r>
      <w:hyperlink r:id="rId91"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have no influence on placing on national market of compost or digestate complying with the national rules.   </w:t>
      </w:r>
    </w:p>
    <w:p w14:paraId="723E3800" w14:textId="77777777" w:rsidR="00616928" w:rsidRPr="00F87467" w:rsidRDefault="00616928" w:rsidP="00F87467">
      <w:pPr>
        <w:pStyle w:val="ListParagraph"/>
        <w:tabs>
          <w:tab w:val="left" w:pos="426"/>
        </w:tabs>
        <w:spacing w:before="60" w:after="60" w:line="276" w:lineRule="auto"/>
        <w:ind w:left="0"/>
        <w:jc w:val="both"/>
        <w:rPr>
          <w:rFonts w:eastAsiaTheme="minorHAnsi"/>
          <w:szCs w:val="24"/>
          <w:lang w:val="en-GB" w:eastAsia="en-US"/>
        </w:rPr>
      </w:pPr>
    </w:p>
    <w:p w14:paraId="47B13F15" w14:textId="2A6ADC31" w:rsidR="00616928" w:rsidRPr="00F87467" w:rsidRDefault="00616928" w:rsidP="00F87467">
      <w:pPr>
        <w:pStyle w:val="Heading2"/>
        <w:spacing w:before="60" w:after="60" w:line="276" w:lineRule="auto"/>
      </w:pPr>
      <w:r w:rsidRPr="00F87467">
        <w:rPr>
          <w:rFonts w:eastAsiaTheme="minorHAnsi"/>
          <w:lang w:eastAsia="en-US"/>
        </w:rPr>
        <w:t xml:space="preserve"> </w:t>
      </w:r>
      <w:bookmarkStart w:id="50" w:name="_Toc59185411"/>
      <w:r w:rsidRPr="00F87467">
        <w:rPr>
          <w:rFonts w:eastAsiaTheme="minorHAnsi"/>
          <w:lang w:eastAsia="en-US"/>
        </w:rPr>
        <w:t>If raw materials</w:t>
      </w:r>
      <w:r w:rsidRPr="00F87467">
        <w:t xml:space="preserve"> taken from earth/ground are used as raw material and remain in unreacted form in the fertilising product, then is it necessary to do a REACH registration for that material for the purpose of compliance with </w:t>
      </w:r>
      <w:r w:rsidR="002D60A6" w:rsidRPr="00F87467">
        <w:t>CMC</w:t>
      </w:r>
      <w:r w:rsidRPr="00F87467">
        <w:t xml:space="preserve"> </w:t>
      </w:r>
      <w:r w:rsidR="00297BCD" w:rsidRPr="00F87467">
        <w:t>1?</w:t>
      </w:r>
      <w:bookmarkEnd w:id="50"/>
      <w:r w:rsidR="00297BCD" w:rsidRPr="00F87467">
        <w:t xml:space="preserve"> </w:t>
      </w:r>
    </w:p>
    <w:p w14:paraId="74AF9798" w14:textId="6BBA76DE" w:rsidR="00602069" w:rsidRPr="00F87467" w:rsidRDefault="00602069" w:rsidP="00F87467">
      <w:pPr>
        <w:pStyle w:val="ListParagraph"/>
        <w:tabs>
          <w:tab w:val="left" w:pos="426"/>
        </w:tabs>
        <w:spacing w:before="60" w:after="60" w:line="276" w:lineRule="auto"/>
        <w:ind w:left="0"/>
        <w:jc w:val="both"/>
        <w:rPr>
          <w:szCs w:val="24"/>
          <w:lang w:val="en-GB"/>
        </w:rPr>
      </w:pPr>
      <w:r w:rsidRPr="00F87467">
        <w:rPr>
          <w:szCs w:val="24"/>
          <w:lang w:val="en-GB"/>
        </w:rPr>
        <w:t xml:space="preserve">All materials that are finally contained in an EU fertilising product have to comply with the requirements for at least one of the CMCs. As a result, any raw material that </w:t>
      </w:r>
      <w:r w:rsidR="005278D9">
        <w:rPr>
          <w:szCs w:val="24"/>
          <w:lang w:val="en-GB"/>
        </w:rPr>
        <w:t xml:space="preserve">deliberately </w:t>
      </w:r>
      <w:r w:rsidRPr="00F87467">
        <w:rPr>
          <w:szCs w:val="24"/>
          <w:lang w:val="en-GB"/>
        </w:rPr>
        <w:t xml:space="preserve">remains part of the final composition of the EU fertilising product </w:t>
      </w:r>
      <w:r w:rsidR="005278D9">
        <w:rPr>
          <w:szCs w:val="24"/>
          <w:lang w:val="en-GB"/>
        </w:rPr>
        <w:t xml:space="preserve">(other than as a trace) </w:t>
      </w:r>
      <w:r w:rsidRPr="00F87467">
        <w:rPr>
          <w:szCs w:val="24"/>
          <w:lang w:val="en-GB"/>
        </w:rPr>
        <w:t xml:space="preserve">must </w:t>
      </w:r>
      <w:r w:rsidR="000F3A5C" w:rsidRPr="00F87467">
        <w:rPr>
          <w:szCs w:val="24"/>
          <w:lang w:val="en-GB"/>
        </w:rPr>
        <w:t xml:space="preserve">be listed in the technical documentation and must </w:t>
      </w:r>
      <w:r w:rsidRPr="00F87467">
        <w:rPr>
          <w:szCs w:val="24"/>
          <w:lang w:val="en-GB"/>
        </w:rPr>
        <w:t xml:space="preserve">comply with </w:t>
      </w:r>
      <w:r w:rsidR="000F3A5C" w:rsidRPr="00F87467">
        <w:rPr>
          <w:szCs w:val="24"/>
          <w:lang w:val="en-GB"/>
        </w:rPr>
        <w:t xml:space="preserve">the </w:t>
      </w:r>
      <w:r w:rsidRPr="00F87467">
        <w:rPr>
          <w:szCs w:val="24"/>
          <w:lang w:val="en-GB"/>
        </w:rPr>
        <w:t>provision</w:t>
      </w:r>
      <w:r w:rsidR="000F3A5C" w:rsidRPr="00F87467">
        <w:rPr>
          <w:szCs w:val="24"/>
          <w:lang w:val="en-GB"/>
        </w:rPr>
        <w:t>s</w:t>
      </w:r>
      <w:r w:rsidRPr="00F87467">
        <w:rPr>
          <w:szCs w:val="24"/>
          <w:lang w:val="en-GB"/>
        </w:rPr>
        <w:t xml:space="preserve"> of one CMC.</w:t>
      </w:r>
    </w:p>
    <w:p w14:paraId="337B33D4" w14:textId="514FD52A" w:rsidR="00E73EFB" w:rsidRPr="00F87467" w:rsidRDefault="00E73EFB" w:rsidP="00F87467">
      <w:pPr>
        <w:spacing w:before="60" w:after="60"/>
        <w:jc w:val="both"/>
        <w:rPr>
          <w:rFonts w:ascii="Times New Roman" w:eastAsia="Times New Roman" w:hAnsi="Times New Roman" w:cs="Times New Roman"/>
          <w:sz w:val="24"/>
          <w:szCs w:val="24"/>
          <w:lang w:eastAsia="de-DE"/>
        </w:rPr>
      </w:pPr>
      <w:r w:rsidRPr="00F87467">
        <w:rPr>
          <w:rFonts w:ascii="Times New Roman" w:eastAsia="Times New Roman" w:hAnsi="Times New Roman" w:cs="Times New Roman"/>
          <w:sz w:val="24"/>
          <w:szCs w:val="24"/>
          <w:lang w:eastAsia="de-DE"/>
        </w:rPr>
        <w:t>For example, phosphate rock may be one of the component materials of an EU fertilising product and may be listed as belonging to CMC 1 as long as it complies wi</w:t>
      </w:r>
      <w:r w:rsidR="000C538C" w:rsidRPr="00F87467">
        <w:rPr>
          <w:rFonts w:ascii="Times New Roman" w:eastAsia="Times New Roman" w:hAnsi="Times New Roman" w:cs="Times New Roman"/>
          <w:sz w:val="24"/>
          <w:szCs w:val="24"/>
          <w:lang w:eastAsia="de-DE"/>
        </w:rPr>
        <w:t>th</w:t>
      </w:r>
      <w:r w:rsidRPr="00F87467">
        <w:rPr>
          <w:rFonts w:ascii="Times New Roman" w:eastAsia="Times New Roman" w:hAnsi="Times New Roman" w:cs="Times New Roman"/>
          <w:sz w:val="24"/>
          <w:szCs w:val="24"/>
          <w:lang w:eastAsia="de-DE"/>
        </w:rPr>
        <w:t xml:space="preserve"> all </w:t>
      </w:r>
      <w:r w:rsidR="00AB4396" w:rsidRPr="00F87467">
        <w:rPr>
          <w:rFonts w:ascii="Times New Roman" w:eastAsia="Times New Roman" w:hAnsi="Times New Roman" w:cs="Times New Roman"/>
          <w:sz w:val="24"/>
          <w:szCs w:val="24"/>
          <w:lang w:eastAsia="de-DE"/>
        </w:rPr>
        <w:t>requirements</w:t>
      </w:r>
      <w:r w:rsidRPr="00F87467">
        <w:rPr>
          <w:rFonts w:ascii="Times New Roman" w:eastAsia="Times New Roman" w:hAnsi="Times New Roman" w:cs="Times New Roman"/>
          <w:sz w:val="24"/>
          <w:szCs w:val="24"/>
          <w:lang w:eastAsia="de-DE"/>
        </w:rPr>
        <w:t xml:space="preserve"> </w:t>
      </w:r>
      <w:r w:rsidR="000C538C" w:rsidRPr="00F87467">
        <w:rPr>
          <w:rFonts w:ascii="Times New Roman" w:eastAsia="Times New Roman" w:hAnsi="Times New Roman" w:cs="Times New Roman"/>
          <w:sz w:val="24"/>
          <w:szCs w:val="24"/>
          <w:lang w:eastAsia="de-DE"/>
        </w:rPr>
        <w:t>laid down</w:t>
      </w:r>
      <w:r w:rsidRPr="00F87467">
        <w:rPr>
          <w:rFonts w:ascii="Times New Roman" w:eastAsia="Times New Roman" w:hAnsi="Times New Roman" w:cs="Times New Roman"/>
          <w:sz w:val="24"/>
          <w:szCs w:val="24"/>
          <w:lang w:eastAsia="de-DE"/>
        </w:rPr>
        <w:t xml:space="preserve"> for virgin material substances and mixture. Furthermore</w:t>
      </w:r>
      <w:r w:rsidR="00AB4396" w:rsidRPr="00F87467">
        <w:rPr>
          <w:rFonts w:ascii="Times New Roman" w:eastAsia="Times New Roman" w:hAnsi="Times New Roman" w:cs="Times New Roman"/>
          <w:sz w:val="24"/>
          <w:szCs w:val="24"/>
          <w:lang w:eastAsia="de-DE"/>
        </w:rPr>
        <w:t>, the</w:t>
      </w:r>
      <w:r w:rsidRPr="00F87467">
        <w:rPr>
          <w:rFonts w:ascii="Times New Roman" w:eastAsia="Times New Roman" w:hAnsi="Times New Roman" w:cs="Times New Roman"/>
          <w:sz w:val="24"/>
          <w:szCs w:val="24"/>
          <w:lang w:eastAsia="de-DE"/>
        </w:rPr>
        <w:t xml:space="preserve"> phosphate rock does not need to be registered under </w:t>
      </w:r>
      <w:hyperlink r:id="rId92" w:history="1">
        <w:r w:rsidRPr="00D03F57">
          <w:rPr>
            <w:rStyle w:val="Hyperlink"/>
            <w:rFonts w:ascii="Times New Roman" w:eastAsia="Times New Roman" w:hAnsi="Times New Roman" w:cs="Times New Roman"/>
            <w:sz w:val="24"/>
            <w:szCs w:val="24"/>
            <w:lang w:eastAsia="de-DE"/>
          </w:rPr>
          <w:t>REACH</w:t>
        </w:r>
      </w:hyperlink>
      <w:r w:rsidRPr="00F87467">
        <w:rPr>
          <w:rFonts w:ascii="Times New Roman" w:eastAsia="Times New Roman" w:hAnsi="Times New Roman" w:cs="Times New Roman"/>
          <w:sz w:val="24"/>
          <w:szCs w:val="24"/>
          <w:lang w:eastAsia="de-DE"/>
        </w:rPr>
        <w:t xml:space="preserve">, because phosphate rock is covered by one of the registration obligation exemptions that are acknowledged by CMC 1. </w:t>
      </w:r>
    </w:p>
    <w:p w14:paraId="04ADE597" w14:textId="7D6A0B6D" w:rsidR="007C0662" w:rsidRPr="00F87467" w:rsidRDefault="007C0662" w:rsidP="00F87467">
      <w:pPr>
        <w:pStyle w:val="ListParagraph"/>
        <w:tabs>
          <w:tab w:val="left" w:pos="426"/>
        </w:tabs>
        <w:spacing w:before="60" w:after="60" w:line="276" w:lineRule="auto"/>
        <w:ind w:left="0"/>
        <w:jc w:val="both"/>
        <w:rPr>
          <w:szCs w:val="24"/>
          <w:lang w:val="en-GB"/>
        </w:rPr>
      </w:pPr>
    </w:p>
    <w:p w14:paraId="36CC908D" w14:textId="415479D3" w:rsidR="00240BEB" w:rsidRPr="0050445C" w:rsidRDefault="00240BEB" w:rsidP="00F87467">
      <w:pPr>
        <w:pStyle w:val="Heading2"/>
        <w:spacing w:before="60" w:after="60" w:line="276" w:lineRule="auto"/>
        <w:rPr>
          <w:lang w:val="en-IE"/>
        </w:rPr>
      </w:pPr>
      <w:bookmarkStart w:id="51" w:name="_Toc59185412"/>
      <w:r w:rsidRPr="0050445C">
        <w:rPr>
          <w:lang w:val="en-IE"/>
        </w:rPr>
        <w:t>Does the obligation for REACH registration in CMC 1 appl</w:t>
      </w:r>
      <w:r w:rsidR="00D4150B" w:rsidRPr="0050445C">
        <w:rPr>
          <w:lang w:val="en-IE"/>
        </w:rPr>
        <w:t>y</w:t>
      </w:r>
      <w:r w:rsidRPr="0050445C">
        <w:rPr>
          <w:lang w:val="en-IE"/>
        </w:rPr>
        <w:t xml:space="preserve"> for preservative agents incorporated in fertilising products that are already approved under the Biocidal Products Regulation?</w:t>
      </w:r>
      <w:bookmarkEnd w:id="51"/>
    </w:p>
    <w:p w14:paraId="1BB2DC90" w14:textId="133FB75B" w:rsidR="002617DD" w:rsidRPr="00F87467" w:rsidRDefault="002617DD" w:rsidP="00F87467">
      <w:pPr>
        <w:pStyle w:val="ListParagraph"/>
        <w:tabs>
          <w:tab w:val="left" w:pos="426"/>
        </w:tabs>
        <w:spacing w:before="60" w:after="60" w:line="276" w:lineRule="auto"/>
        <w:ind w:left="0"/>
        <w:jc w:val="both"/>
        <w:rPr>
          <w:szCs w:val="24"/>
          <w:lang w:val="en-IE"/>
        </w:rPr>
      </w:pPr>
      <w:r w:rsidRPr="00F87467">
        <w:rPr>
          <w:szCs w:val="24"/>
          <w:lang w:val="en-IE"/>
        </w:rPr>
        <w:t xml:space="preserve">The basic principle in the Biocidal Products Regulation (Regulation (EU) 528/2012, hereafter BPR) is that a biocidal product must be authorised before it can be made available on the market or used in the </w:t>
      </w:r>
      <w:r w:rsidR="003E2202" w:rsidRPr="00F87467">
        <w:rPr>
          <w:szCs w:val="24"/>
          <w:lang w:val="en-IE"/>
        </w:rPr>
        <w:t>EU</w:t>
      </w:r>
      <w:r w:rsidRPr="00F87467">
        <w:rPr>
          <w:szCs w:val="24"/>
          <w:lang w:val="en-IE"/>
        </w:rPr>
        <w:t xml:space="preserve">. This takes place in two consecutive steps. First, the active substance is evaluated and, provided the criteria are fulfilled, is then approved </w:t>
      </w:r>
      <w:r w:rsidR="005B050A">
        <w:rPr>
          <w:szCs w:val="24"/>
          <w:lang w:val="en-IE"/>
        </w:rPr>
        <w:t>for</w:t>
      </w:r>
      <w:r w:rsidR="005B050A" w:rsidRPr="00F87467">
        <w:rPr>
          <w:szCs w:val="24"/>
          <w:lang w:val="en-IE"/>
        </w:rPr>
        <w:t xml:space="preserve"> </w:t>
      </w:r>
      <w:r w:rsidRPr="00F87467">
        <w:rPr>
          <w:szCs w:val="24"/>
          <w:lang w:val="en-IE"/>
        </w:rPr>
        <w:t xml:space="preserve">a specified product-type. The second step is the authorisation of each product consisting of, containing or generating the approved active substance(s). </w:t>
      </w:r>
    </w:p>
    <w:p w14:paraId="09656381" w14:textId="2818D385" w:rsidR="006623FD" w:rsidRPr="00F87467" w:rsidRDefault="002617DD" w:rsidP="00F87467">
      <w:pPr>
        <w:pStyle w:val="ListParagraph"/>
        <w:tabs>
          <w:tab w:val="left" w:pos="426"/>
        </w:tabs>
        <w:spacing w:before="60" w:after="60" w:line="276" w:lineRule="auto"/>
        <w:ind w:left="0"/>
        <w:jc w:val="both"/>
        <w:rPr>
          <w:szCs w:val="24"/>
          <w:lang w:val="en-GB"/>
        </w:rPr>
      </w:pPr>
      <w:r w:rsidRPr="00F87467">
        <w:rPr>
          <w:szCs w:val="24"/>
          <w:lang w:val="en-GB"/>
        </w:rPr>
        <w:t xml:space="preserve">In order to approve an active substance, its hazardous properties and possible risks to humans, animals and the environment are </w:t>
      </w:r>
      <w:r w:rsidR="00D4150B" w:rsidRPr="00F87467">
        <w:rPr>
          <w:szCs w:val="24"/>
          <w:lang w:val="en-GB"/>
        </w:rPr>
        <w:t>thoroughly</w:t>
      </w:r>
      <w:r w:rsidRPr="00F87467">
        <w:rPr>
          <w:szCs w:val="24"/>
          <w:lang w:val="en-GB"/>
        </w:rPr>
        <w:t xml:space="preserve"> assessed.</w:t>
      </w:r>
      <w:r w:rsidR="003E2202" w:rsidRPr="00F87467">
        <w:rPr>
          <w:szCs w:val="24"/>
          <w:lang w:val="en-GB"/>
        </w:rPr>
        <w:t xml:space="preserve"> </w:t>
      </w:r>
    </w:p>
    <w:p w14:paraId="0F232380" w14:textId="7EA306C1" w:rsidR="005E7C1D" w:rsidRPr="00F87467" w:rsidRDefault="007F482F" w:rsidP="00F87467">
      <w:pPr>
        <w:pStyle w:val="ListParagraph"/>
        <w:tabs>
          <w:tab w:val="left" w:pos="426"/>
        </w:tabs>
        <w:spacing w:before="60" w:after="60" w:line="276" w:lineRule="auto"/>
        <w:ind w:left="0"/>
        <w:jc w:val="both"/>
        <w:rPr>
          <w:szCs w:val="24"/>
          <w:lang w:val="en-IE"/>
        </w:rPr>
      </w:pPr>
      <w:r w:rsidRPr="00BC055D">
        <w:rPr>
          <w:szCs w:val="24"/>
          <w:lang w:val="en-GB"/>
        </w:rPr>
        <w:t xml:space="preserve">To avoid duplications, such </w:t>
      </w:r>
      <w:r w:rsidRPr="00BC055D">
        <w:rPr>
          <w:szCs w:val="24"/>
          <w:lang w:val="en-IE"/>
        </w:rPr>
        <w:t>active</w:t>
      </w:r>
      <w:r w:rsidR="003E2202" w:rsidRPr="00BC055D">
        <w:rPr>
          <w:szCs w:val="24"/>
          <w:lang w:val="en-IE"/>
        </w:rPr>
        <w:t xml:space="preserve"> substances </w:t>
      </w:r>
      <w:r w:rsidR="006C5046" w:rsidRPr="00BC055D">
        <w:rPr>
          <w:lang w:val="en-US"/>
        </w:rPr>
        <w:t xml:space="preserve">manufactured or imported for use in biocidal products only </w:t>
      </w:r>
      <w:r w:rsidR="003E2202" w:rsidRPr="00BC055D">
        <w:rPr>
          <w:szCs w:val="24"/>
          <w:lang w:val="en-IE"/>
        </w:rPr>
        <w:t xml:space="preserve">are considered </w:t>
      </w:r>
      <w:r w:rsidR="003E2202" w:rsidRPr="00F87467">
        <w:rPr>
          <w:szCs w:val="24"/>
          <w:lang w:val="en-IE"/>
        </w:rPr>
        <w:t xml:space="preserve">as being </w:t>
      </w:r>
      <w:hyperlink r:id="rId93" w:history="1">
        <w:r w:rsidR="003E2202" w:rsidRPr="00D03F57">
          <w:rPr>
            <w:rStyle w:val="Hyperlink"/>
            <w:szCs w:val="24"/>
            <w:lang w:val="en-IE"/>
          </w:rPr>
          <w:t>REACH</w:t>
        </w:r>
      </w:hyperlink>
      <w:r w:rsidR="003E2202" w:rsidRPr="00F87467">
        <w:rPr>
          <w:szCs w:val="24"/>
          <w:lang w:val="en-IE"/>
        </w:rPr>
        <w:t xml:space="preserve"> registered, according to Article 15(2) of </w:t>
      </w:r>
      <w:hyperlink r:id="rId94" w:history="1">
        <w:r w:rsidR="003E2202" w:rsidRPr="00D03F57">
          <w:rPr>
            <w:rStyle w:val="Hyperlink"/>
            <w:szCs w:val="24"/>
            <w:lang w:val="en-IE"/>
          </w:rPr>
          <w:t>REACH</w:t>
        </w:r>
      </w:hyperlink>
      <w:r w:rsidR="003E2202" w:rsidRPr="00F87467">
        <w:rPr>
          <w:szCs w:val="24"/>
          <w:lang w:val="en-IE"/>
        </w:rPr>
        <w:t xml:space="preserve"> Regulation. </w:t>
      </w:r>
    </w:p>
    <w:p w14:paraId="2164B0FE" w14:textId="39D191F1" w:rsidR="008E3D80" w:rsidRPr="00F87467" w:rsidRDefault="005E7C1D" w:rsidP="00F87467">
      <w:pPr>
        <w:pStyle w:val="ListParagraph"/>
        <w:tabs>
          <w:tab w:val="left" w:pos="426"/>
        </w:tabs>
        <w:spacing w:before="60" w:after="60" w:line="276" w:lineRule="auto"/>
        <w:ind w:left="0"/>
        <w:jc w:val="both"/>
        <w:rPr>
          <w:szCs w:val="24"/>
          <w:lang w:val="en-IE"/>
        </w:rPr>
      </w:pPr>
      <w:r w:rsidRPr="00F87467">
        <w:rPr>
          <w:szCs w:val="24"/>
          <w:lang w:val="en-IE"/>
        </w:rPr>
        <w:lastRenderedPageBreak/>
        <w:t>This concerns both a</w:t>
      </w:r>
      <w:r w:rsidR="008E3D80" w:rsidRPr="00F87467">
        <w:rPr>
          <w:szCs w:val="24"/>
          <w:lang w:val="en-IE"/>
        </w:rPr>
        <w:t xml:space="preserve">ctive substances approved </w:t>
      </w:r>
      <w:r w:rsidRPr="00F87467">
        <w:rPr>
          <w:szCs w:val="24"/>
          <w:lang w:val="en-IE"/>
        </w:rPr>
        <w:t xml:space="preserve">(including </w:t>
      </w:r>
      <w:r w:rsidR="008E3D80" w:rsidRPr="00F87467">
        <w:rPr>
          <w:szCs w:val="24"/>
          <w:lang w:val="en-IE"/>
        </w:rPr>
        <w:t>for use in product-type 6 – preservatives for products during storage</w:t>
      </w:r>
      <w:r w:rsidRPr="00F87467">
        <w:rPr>
          <w:szCs w:val="24"/>
          <w:lang w:val="en-IE"/>
        </w:rPr>
        <w:t>), as well as substances</w:t>
      </w:r>
      <w:r w:rsidR="008E3D80" w:rsidRPr="00F87467">
        <w:rPr>
          <w:szCs w:val="24"/>
          <w:lang w:val="en-IE"/>
        </w:rPr>
        <w:t xml:space="preserve"> </w:t>
      </w:r>
      <w:r w:rsidRPr="00F87467">
        <w:rPr>
          <w:szCs w:val="24"/>
          <w:lang w:val="en-IE"/>
        </w:rPr>
        <w:t xml:space="preserve">listed in Annex II to Regulation 1062/2014 as being under assessment in the programme of review of existing biocidal active substances. </w:t>
      </w:r>
    </w:p>
    <w:p w14:paraId="102B78BD" w14:textId="1FE5475B" w:rsidR="004A474B" w:rsidRPr="00F87467" w:rsidRDefault="003E2202" w:rsidP="00F87467">
      <w:pPr>
        <w:pStyle w:val="ListParagraph"/>
        <w:tabs>
          <w:tab w:val="left" w:pos="426"/>
        </w:tabs>
        <w:spacing w:before="60" w:after="60" w:line="276" w:lineRule="auto"/>
        <w:ind w:left="0"/>
        <w:jc w:val="both"/>
        <w:rPr>
          <w:szCs w:val="24"/>
          <w:lang w:val="en-IE"/>
        </w:rPr>
      </w:pPr>
      <w:r w:rsidRPr="00F87467">
        <w:rPr>
          <w:szCs w:val="24"/>
          <w:lang w:val="en-IE"/>
        </w:rPr>
        <w:t xml:space="preserve">Some fertilising products, especially those in liquid form, may include </w:t>
      </w:r>
      <w:r w:rsidR="0014184F">
        <w:rPr>
          <w:szCs w:val="24"/>
          <w:lang w:val="en-IE"/>
        </w:rPr>
        <w:t>a biocid</w:t>
      </w:r>
      <w:r w:rsidR="00687CB2">
        <w:rPr>
          <w:szCs w:val="24"/>
          <w:lang w:val="en-IE"/>
        </w:rPr>
        <w:t>al</w:t>
      </w:r>
      <w:r w:rsidR="0014184F">
        <w:rPr>
          <w:szCs w:val="24"/>
          <w:lang w:val="en-IE"/>
        </w:rPr>
        <w:t xml:space="preserve"> product</w:t>
      </w:r>
      <w:r w:rsidR="00687CB2">
        <w:rPr>
          <w:szCs w:val="24"/>
          <w:lang w:val="en-IE"/>
        </w:rPr>
        <w:t>s (mixtures or substances)</w:t>
      </w:r>
      <w:r w:rsidRPr="00F87467">
        <w:rPr>
          <w:szCs w:val="24"/>
          <w:lang w:val="en-IE"/>
        </w:rPr>
        <w:t xml:space="preserve"> </w:t>
      </w:r>
      <w:r w:rsidR="004A474B" w:rsidRPr="00F87467">
        <w:rPr>
          <w:szCs w:val="24"/>
          <w:lang w:val="en-IE"/>
        </w:rPr>
        <w:t>used as a preservative agent</w:t>
      </w:r>
      <w:r w:rsidR="006623FD" w:rsidRPr="00F87467">
        <w:rPr>
          <w:szCs w:val="24"/>
          <w:lang w:val="en-IE"/>
        </w:rPr>
        <w:t xml:space="preserve"> during storage</w:t>
      </w:r>
      <w:r w:rsidR="004A474B" w:rsidRPr="00F87467">
        <w:rPr>
          <w:szCs w:val="24"/>
          <w:lang w:val="en-IE"/>
        </w:rPr>
        <w:t xml:space="preserve">. </w:t>
      </w:r>
      <w:r w:rsidR="005E7C1D" w:rsidRPr="00F87467">
        <w:rPr>
          <w:szCs w:val="24"/>
          <w:lang w:val="en-IE"/>
        </w:rPr>
        <w:t xml:space="preserve">For the purpose of the </w:t>
      </w:r>
      <w:hyperlink r:id="rId95" w:history="1">
        <w:r w:rsidR="005E7C1D" w:rsidRPr="00D53265">
          <w:rPr>
            <w:rStyle w:val="Hyperlink"/>
            <w:szCs w:val="24"/>
            <w:lang w:val="en-IE"/>
          </w:rPr>
          <w:t>FPR</w:t>
        </w:r>
      </w:hyperlink>
      <w:r w:rsidR="005E7C1D" w:rsidRPr="00F87467">
        <w:rPr>
          <w:szCs w:val="24"/>
          <w:lang w:val="en-IE"/>
        </w:rPr>
        <w:t>, t</w:t>
      </w:r>
      <w:r w:rsidR="004A474B" w:rsidRPr="00F87467">
        <w:rPr>
          <w:szCs w:val="24"/>
          <w:lang w:val="en-IE"/>
        </w:rPr>
        <w:t>h</w:t>
      </w:r>
      <w:r w:rsidR="00687CB2">
        <w:rPr>
          <w:szCs w:val="24"/>
          <w:lang w:val="en-IE"/>
        </w:rPr>
        <w:t>ese</w:t>
      </w:r>
      <w:r w:rsidR="0014184F">
        <w:rPr>
          <w:szCs w:val="24"/>
          <w:lang w:val="en-IE"/>
        </w:rPr>
        <w:t xml:space="preserve"> mixture</w:t>
      </w:r>
      <w:r w:rsidR="00687CB2">
        <w:rPr>
          <w:szCs w:val="24"/>
          <w:lang w:val="en-IE"/>
        </w:rPr>
        <w:t>s</w:t>
      </w:r>
      <w:r w:rsidR="0014184F">
        <w:rPr>
          <w:szCs w:val="24"/>
          <w:lang w:val="en-IE"/>
        </w:rPr>
        <w:t xml:space="preserve"> or th</w:t>
      </w:r>
      <w:r w:rsidR="006623FD" w:rsidRPr="00F87467">
        <w:rPr>
          <w:szCs w:val="24"/>
          <w:lang w:val="en-IE"/>
        </w:rPr>
        <w:t>e</w:t>
      </w:r>
      <w:r w:rsidR="004A474B" w:rsidRPr="00F87467">
        <w:rPr>
          <w:szCs w:val="24"/>
          <w:lang w:val="en-IE"/>
        </w:rPr>
        <w:t>s</w:t>
      </w:r>
      <w:r w:rsidR="006623FD" w:rsidRPr="00F87467">
        <w:rPr>
          <w:szCs w:val="24"/>
          <w:lang w:val="en-IE"/>
        </w:rPr>
        <w:t>e</w:t>
      </w:r>
      <w:r w:rsidR="004A474B" w:rsidRPr="00F87467">
        <w:rPr>
          <w:szCs w:val="24"/>
          <w:lang w:val="en-IE"/>
        </w:rPr>
        <w:t xml:space="preserve"> substance</w:t>
      </w:r>
      <w:r w:rsidR="006623FD" w:rsidRPr="00F87467">
        <w:rPr>
          <w:szCs w:val="24"/>
          <w:lang w:val="en-IE"/>
        </w:rPr>
        <w:t>s</w:t>
      </w:r>
      <w:r w:rsidR="004A474B" w:rsidRPr="00F87467">
        <w:rPr>
          <w:szCs w:val="24"/>
          <w:lang w:val="en-IE"/>
        </w:rPr>
        <w:t xml:space="preserve"> </w:t>
      </w:r>
      <w:r w:rsidR="005E7C1D" w:rsidRPr="00F87467">
        <w:rPr>
          <w:szCs w:val="24"/>
          <w:lang w:val="en-IE"/>
        </w:rPr>
        <w:t xml:space="preserve">may </w:t>
      </w:r>
      <w:r w:rsidRPr="00F87467">
        <w:rPr>
          <w:szCs w:val="24"/>
          <w:lang w:val="en-IE"/>
        </w:rPr>
        <w:t xml:space="preserve">belong to CMC 1. In such </w:t>
      </w:r>
      <w:r w:rsidR="00687CB2">
        <w:rPr>
          <w:szCs w:val="24"/>
          <w:lang w:val="en-IE"/>
        </w:rPr>
        <w:t xml:space="preserve">a </w:t>
      </w:r>
      <w:r w:rsidRPr="00F87467">
        <w:rPr>
          <w:szCs w:val="24"/>
          <w:lang w:val="en-IE"/>
        </w:rPr>
        <w:t>case, the</w:t>
      </w:r>
      <w:r w:rsidR="00687CB2">
        <w:rPr>
          <w:szCs w:val="24"/>
          <w:lang w:val="en-IE"/>
        </w:rPr>
        <w:t xml:space="preserve"> active</w:t>
      </w:r>
      <w:r w:rsidRPr="00F87467">
        <w:rPr>
          <w:szCs w:val="24"/>
          <w:lang w:val="en-IE"/>
        </w:rPr>
        <w:t xml:space="preserve"> substance</w:t>
      </w:r>
      <w:r w:rsidR="006623FD" w:rsidRPr="00F87467">
        <w:rPr>
          <w:szCs w:val="24"/>
          <w:lang w:val="en-IE"/>
        </w:rPr>
        <w:t>s</w:t>
      </w:r>
      <w:r w:rsidRPr="00F87467">
        <w:rPr>
          <w:szCs w:val="24"/>
          <w:lang w:val="en-IE"/>
        </w:rPr>
        <w:t xml:space="preserve"> </w:t>
      </w:r>
      <w:r w:rsidR="00687CB2">
        <w:rPr>
          <w:szCs w:val="24"/>
          <w:lang w:val="en-IE"/>
        </w:rPr>
        <w:t xml:space="preserve">in these biocidal products </w:t>
      </w:r>
      <w:r w:rsidR="006623FD" w:rsidRPr="00F87467">
        <w:rPr>
          <w:szCs w:val="24"/>
          <w:lang w:val="en-IE"/>
        </w:rPr>
        <w:t xml:space="preserve">are </w:t>
      </w:r>
      <w:r w:rsidR="004A474B" w:rsidRPr="00F87467">
        <w:rPr>
          <w:szCs w:val="24"/>
          <w:lang w:val="en-IE"/>
        </w:rPr>
        <w:t xml:space="preserve">regarded as being registered in </w:t>
      </w:r>
      <w:hyperlink r:id="rId96" w:history="1">
        <w:r w:rsidR="004A474B" w:rsidRPr="00D03F57">
          <w:rPr>
            <w:rStyle w:val="Hyperlink"/>
            <w:szCs w:val="24"/>
            <w:lang w:val="en-IE"/>
          </w:rPr>
          <w:t>REACH</w:t>
        </w:r>
      </w:hyperlink>
      <w:r w:rsidR="0014184F" w:rsidRPr="0014184F">
        <w:rPr>
          <w:szCs w:val="24"/>
          <w:lang w:val="en-IE"/>
        </w:rPr>
        <w:t xml:space="preserve"> </w:t>
      </w:r>
      <w:r w:rsidR="006C5046" w:rsidRPr="0050445C">
        <w:rPr>
          <w:lang w:val="en-US"/>
        </w:rPr>
        <w:t>exclusively for this use</w:t>
      </w:r>
      <w:r w:rsidR="006C5046">
        <w:rPr>
          <w:color w:val="FF0000"/>
          <w:lang w:val="en-US"/>
        </w:rPr>
        <w:t xml:space="preserve"> </w:t>
      </w:r>
      <w:r w:rsidR="0014184F">
        <w:rPr>
          <w:szCs w:val="24"/>
          <w:lang w:val="en-IE"/>
        </w:rPr>
        <w:t xml:space="preserve">and </w:t>
      </w:r>
      <w:r w:rsidR="004A474B" w:rsidRPr="00F87467">
        <w:rPr>
          <w:szCs w:val="24"/>
          <w:lang w:val="en-IE"/>
        </w:rPr>
        <w:t xml:space="preserve">the requirement in point 2 </w:t>
      </w:r>
      <w:r w:rsidR="005E7C1D" w:rsidRPr="00F87467">
        <w:rPr>
          <w:szCs w:val="24"/>
          <w:lang w:val="en-IE"/>
        </w:rPr>
        <w:t xml:space="preserve">in CMC 1 </w:t>
      </w:r>
      <w:r w:rsidR="004A474B" w:rsidRPr="00F87467">
        <w:rPr>
          <w:szCs w:val="24"/>
          <w:lang w:val="en-IE"/>
        </w:rPr>
        <w:t xml:space="preserve">is </w:t>
      </w:r>
      <w:r w:rsidR="005B050A">
        <w:rPr>
          <w:szCs w:val="24"/>
          <w:lang w:val="en-IE"/>
        </w:rPr>
        <w:t xml:space="preserve">considered as </w:t>
      </w:r>
      <w:r w:rsidR="004A474B" w:rsidRPr="00F87467">
        <w:rPr>
          <w:szCs w:val="24"/>
          <w:lang w:val="en-IE"/>
        </w:rPr>
        <w:t>fulfilled</w:t>
      </w:r>
      <w:r w:rsidR="005B050A">
        <w:rPr>
          <w:szCs w:val="24"/>
          <w:lang w:val="en-IE"/>
        </w:rPr>
        <w:t>,</w:t>
      </w:r>
      <w:r w:rsidR="005E7C1D" w:rsidRPr="00F87467">
        <w:rPr>
          <w:szCs w:val="24"/>
          <w:lang w:val="en-IE"/>
        </w:rPr>
        <w:t xml:space="preserve"> and no </w:t>
      </w:r>
      <w:hyperlink r:id="rId97" w:history="1">
        <w:r w:rsidR="005B050A" w:rsidRPr="00D03F57">
          <w:rPr>
            <w:rStyle w:val="Hyperlink"/>
            <w:szCs w:val="24"/>
            <w:lang w:val="en-IE"/>
          </w:rPr>
          <w:t>REACH</w:t>
        </w:r>
      </w:hyperlink>
      <w:r w:rsidR="005B050A">
        <w:rPr>
          <w:szCs w:val="24"/>
          <w:lang w:val="en-IE"/>
        </w:rPr>
        <w:t xml:space="preserve"> registration </w:t>
      </w:r>
      <w:r w:rsidR="00687CB2">
        <w:rPr>
          <w:szCs w:val="24"/>
          <w:lang w:val="en-IE"/>
        </w:rPr>
        <w:t xml:space="preserve">of the active substance(s) </w:t>
      </w:r>
      <w:r w:rsidR="005B050A">
        <w:rPr>
          <w:szCs w:val="24"/>
          <w:lang w:val="en-IE"/>
        </w:rPr>
        <w:t>is necessary for the purpose of fulfilling the criteria of CMC 1</w:t>
      </w:r>
      <w:r w:rsidR="004A474B" w:rsidRPr="00F87467">
        <w:rPr>
          <w:szCs w:val="24"/>
          <w:lang w:val="en-IE"/>
        </w:rPr>
        <w:t xml:space="preserve">. </w:t>
      </w:r>
    </w:p>
    <w:p w14:paraId="750AA901" w14:textId="19E890B2" w:rsidR="003E2202" w:rsidRPr="00F87467" w:rsidRDefault="003E2202" w:rsidP="00F87467">
      <w:pPr>
        <w:pStyle w:val="ListParagraph"/>
        <w:tabs>
          <w:tab w:val="left" w:pos="426"/>
        </w:tabs>
        <w:spacing w:before="60" w:after="60" w:line="276" w:lineRule="auto"/>
        <w:ind w:left="0"/>
        <w:jc w:val="both"/>
        <w:rPr>
          <w:szCs w:val="24"/>
          <w:lang w:val="en-IE"/>
        </w:rPr>
      </w:pPr>
    </w:p>
    <w:p w14:paraId="68453F5E" w14:textId="788D420C" w:rsidR="00240BEB" w:rsidRPr="00F87467" w:rsidRDefault="00240BEB" w:rsidP="00F87467">
      <w:pPr>
        <w:pStyle w:val="ListParagraph"/>
        <w:tabs>
          <w:tab w:val="left" w:pos="426"/>
        </w:tabs>
        <w:spacing w:before="60" w:after="60" w:line="276" w:lineRule="auto"/>
        <w:ind w:left="0"/>
        <w:jc w:val="both"/>
        <w:rPr>
          <w:szCs w:val="24"/>
          <w:lang w:val="en-IE"/>
        </w:rPr>
      </w:pPr>
    </w:p>
    <w:p w14:paraId="3699CF82" w14:textId="39EF2B47" w:rsidR="00E00C5E" w:rsidRPr="00F87467" w:rsidRDefault="00E00C5E" w:rsidP="00F87467">
      <w:pPr>
        <w:pStyle w:val="Heading2"/>
        <w:spacing w:before="60" w:after="60" w:line="276" w:lineRule="auto"/>
      </w:pPr>
      <w:bookmarkStart w:id="52" w:name="_Toc59185413"/>
      <w:r w:rsidRPr="00F87467">
        <w:t xml:space="preserve">Can ammonium sulphate as </w:t>
      </w:r>
      <w:r w:rsidR="00D4150B">
        <w:t xml:space="preserve">a </w:t>
      </w:r>
      <w:r w:rsidRPr="00F87467">
        <w:t>by-product from capr</w:t>
      </w:r>
      <w:r w:rsidR="0014184F">
        <w:t>o</w:t>
      </w:r>
      <w:r w:rsidRPr="00F87467">
        <w:t xml:space="preserve">lactam or coke oven production be classified as a component material belonging to CMC 1 </w:t>
      </w:r>
      <w:r w:rsidR="00984317">
        <w:t>(</w:t>
      </w:r>
      <w:r w:rsidRPr="00F87467">
        <w:t>Virgin material substances and mixtures</w:t>
      </w:r>
      <w:r w:rsidR="00984317">
        <w:t>)</w:t>
      </w:r>
      <w:r w:rsidRPr="00F87467">
        <w:t>?</w:t>
      </w:r>
      <w:bookmarkEnd w:id="52"/>
    </w:p>
    <w:p w14:paraId="45BA87FE" w14:textId="28D23EBC" w:rsidR="00E00C5E" w:rsidRPr="00F87467" w:rsidRDefault="00E00C5E" w:rsidP="00F87467">
      <w:pPr>
        <w:pStyle w:val="ListParagraph"/>
        <w:tabs>
          <w:tab w:val="left" w:pos="426"/>
        </w:tabs>
        <w:spacing w:before="60" w:after="60" w:line="276" w:lineRule="auto"/>
        <w:ind w:left="0"/>
        <w:jc w:val="both"/>
        <w:rPr>
          <w:szCs w:val="24"/>
          <w:lang w:val="en-GB"/>
        </w:rPr>
      </w:pPr>
      <w:r w:rsidRPr="00F87467">
        <w:rPr>
          <w:szCs w:val="24"/>
          <w:lang w:val="en-GB"/>
        </w:rPr>
        <w:t>No. The ammonium sulphate from capr</w:t>
      </w:r>
      <w:r w:rsidR="0014184F">
        <w:rPr>
          <w:szCs w:val="24"/>
          <w:lang w:val="en-GB"/>
        </w:rPr>
        <w:t>o</w:t>
      </w:r>
      <w:r w:rsidRPr="00F87467">
        <w:rPr>
          <w:szCs w:val="24"/>
          <w:lang w:val="en-GB"/>
        </w:rPr>
        <w:t>lactam or coke oven production cannot be classified as a component material belonging to CMC 1</w:t>
      </w:r>
      <w:r w:rsidR="00D140AE" w:rsidRPr="00F87467">
        <w:rPr>
          <w:szCs w:val="24"/>
          <w:lang w:val="en-GB"/>
        </w:rPr>
        <w:t>, since it is a by-product</w:t>
      </w:r>
      <w:r w:rsidRPr="00F87467">
        <w:rPr>
          <w:szCs w:val="24"/>
          <w:lang w:val="en-GB"/>
        </w:rPr>
        <w:t xml:space="preserve">. The appropriate category to cover this ingredient seems to be CMC 11, since it covers by-products that are part of the final composition of an EU fertilising product, under the condition that they fulfil all requirements of that category. </w:t>
      </w:r>
    </w:p>
    <w:p w14:paraId="1FFFE5FB" w14:textId="77777777" w:rsidR="00E00C5E" w:rsidRPr="00F87467" w:rsidRDefault="00E00C5E" w:rsidP="00F87467">
      <w:pPr>
        <w:pStyle w:val="ListParagraph"/>
        <w:tabs>
          <w:tab w:val="left" w:pos="426"/>
        </w:tabs>
        <w:spacing w:before="60" w:after="60" w:line="276" w:lineRule="auto"/>
        <w:ind w:left="0"/>
        <w:jc w:val="both"/>
        <w:rPr>
          <w:i/>
          <w:szCs w:val="24"/>
          <w:lang w:val="en-GB"/>
        </w:rPr>
      </w:pPr>
    </w:p>
    <w:p w14:paraId="3F0618E1" w14:textId="674E9EE7" w:rsidR="00E91CFC" w:rsidRPr="00F87467" w:rsidRDefault="00E91CFC" w:rsidP="00F87467">
      <w:pPr>
        <w:pStyle w:val="ListParagraph"/>
        <w:tabs>
          <w:tab w:val="left" w:pos="426"/>
        </w:tabs>
        <w:spacing w:before="60" w:after="60" w:line="276" w:lineRule="auto"/>
        <w:ind w:left="0"/>
        <w:jc w:val="both"/>
        <w:rPr>
          <w:szCs w:val="24"/>
          <w:lang w:val="en-GB"/>
        </w:rPr>
      </w:pPr>
    </w:p>
    <w:p w14:paraId="5B8C1BF3" w14:textId="39664589" w:rsidR="00602069" w:rsidRPr="00F87467" w:rsidRDefault="00616928" w:rsidP="00F87467">
      <w:pPr>
        <w:pStyle w:val="Heading2"/>
        <w:spacing w:before="60" w:after="60" w:line="276" w:lineRule="auto"/>
      </w:pPr>
      <w:bookmarkStart w:id="53" w:name="_Toc59185414"/>
      <w:r w:rsidRPr="00F87467">
        <w:t xml:space="preserve">Does the </w:t>
      </w:r>
      <w:r w:rsidR="00E00C5E" w:rsidRPr="00F87467">
        <w:t>CMC</w:t>
      </w:r>
      <w:r w:rsidRPr="00F87467">
        <w:t xml:space="preserve"> 2 (</w:t>
      </w:r>
      <w:r w:rsidR="00984317">
        <w:t>P</w:t>
      </w:r>
      <w:r w:rsidRPr="00F87467">
        <w:t>lants, plant parts or plant extracts) include the sea</w:t>
      </w:r>
      <w:r w:rsidR="00C261E2" w:rsidRPr="00F87467">
        <w:t>w</w:t>
      </w:r>
      <w:r w:rsidRPr="00F87467">
        <w:t>eed extracted with alkaline solution?</w:t>
      </w:r>
      <w:bookmarkEnd w:id="53"/>
    </w:p>
    <w:p w14:paraId="7F17BB2A" w14:textId="24BD7775" w:rsidR="0084036D" w:rsidRPr="00F87467" w:rsidRDefault="00602069" w:rsidP="00F87467">
      <w:pPr>
        <w:tabs>
          <w:tab w:val="left" w:pos="426"/>
        </w:tabs>
        <w:spacing w:before="60" w:after="60"/>
        <w:jc w:val="both"/>
        <w:rPr>
          <w:rFonts w:ascii="Times New Roman" w:eastAsia="Times New Roman" w:hAnsi="Times New Roman" w:cs="Times New Roman"/>
          <w:sz w:val="24"/>
          <w:szCs w:val="24"/>
          <w:lang w:eastAsia="de-DE"/>
        </w:rPr>
      </w:pPr>
      <w:r w:rsidRPr="00F87467">
        <w:rPr>
          <w:rFonts w:ascii="Times New Roman" w:eastAsia="Times New Roman" w:hAnsi="Times New Roman" w:cs="Times New Roman"/>
          <w:sz w:val="24"/>
          <w:szCs w:val="24"/>
          <w:lang w:eastAsia="de-DE"/>
        </w:rPr>
        <w:t>Seaweed and seaweed extracts</w:t>
      </w:r>
      <w:r w:rsidR="00592E03" w:rsidRPr="00F87467">
        <w:rPr>
          <w:rFonts w:ascii="Times New Roman" w:eastAsia="Times New Roman" w:hAnsi="Times New Roman" w:cs="Times New Roman"/>
          <w:sz w:val="24"/>
          <w:szCs w:val="24"/>
          <w:lang w:eastAsia="de-DE"/>
        </w:rPr>
        <w:t> may</w:t>
      </w:r>
      <w:r w:rsidRPr="00F87467">
        <w:rPr>
          <w:rFonts w:ascii="Times New Roman" w:eastAsia="Times New Roman" w:hAnsi="Times New Roman" w:cs="Times New Roman"/>
          <w:sz w:val="24"/>
          <w:szCs w:val="24"/>
          <w:lang w:eastAsia="de-DE"/>
        </w:rPr>
        <w:t xml:space="preserve"> fall under the scope of CMC 2 as long as they have undergone one of the permitted processes that are listed therein. Since any further </w:t>
      </w:r>
      <w:r w:rsidR="00AB4396" w:rsidRPr="00F87467">
        <w:rPr>
          <w:rFonts w:ascii="Times New Roman" w:eastAsia="Times New Roman" w:hAnsi="Times New Roman" w:cs="Times New Roman"/>
          <w:sz w:val="24"/>
          <w:szCs w:val="24"/>
          <w:lang w:eastAsia="de-DE"/>
        </w:rPr>
        <w:t>treatments</w:t>
      </w:r>
      <w:r w:rsidRPr="00F87467">
        <w:rPr>
          <w:rFonts w:ascii="Times New Roman" w:eastAsia="Times New Roman" w:hAnsi="Times New Roman" w:cs="Times New Roman"/>
          <w:sz w:val="24"/>
          <w:szCs w:val="24"/>
          <w:lang w:eastAsia="de-DE"/>
        </w:rPr>
        <w:t xml:space="preserve"> </w:t>
      </w:r>
      <w:r w:rsidR="00984317">
        <w:rPr>
          <w:rFonts w:ascii="Times New Roman" w:eastAsia="Times New Roman" w:hAnsi="Times New Roman" w:cs="Times New Roman"/>
          <w:sz w:val="24"/>
          <w:szCs w:val="24"/>
          <w:lang w:eastAsia="de-DE"/>
        </w:rPr>
        <w:t xml:space="preserve">are </w:t>
      </w:r>
      <w:r w:rsidRPr="00F87467">
        <w:rPr>
          <w:rFonts w:ascii="Times New Roman" w:eastAsia="Times New Roman" w:hAnsi="Times New Roman" w:cs="Times New Roman"/>
          <w:sz w:val="24"/>
          <w:szCs w:val="24"/>
          <w:lang w:eastAsia="de-DE"/>
        </w:rPr>
        <w:t>not allowed under this CMC</w:t>
      </w:r>
      <w:r w:rsidR="00D140AE" w:rsidRPr="00F87467">
        <w:rPr>
          <w:rFonts w:ascii="Times New Roman" w:eastAsia="Times New Roman" w:hAnsi="Times New Roman" w:cs="Times New Roman"/>
          <w:sz w:val="24"/>
          <w:szCs w:val="24"/>
          <w:lang w:eastAsia="de-DE"/>
        </w:rPr>
        <w:t xml:space="preserve"> unless specifically mentioned</w:t>
      </w:r>
      <w:r w:rsidRPr="00F87467">
        <w:rPr>
          <w:rFonts w:ascii="Times New Roman" w:eastAsia="Times New Roman" w:hAnsi="Times New Roman" w:cs="Times New Roman"/>
          <w:sz w:val="24"/>
          <w:szCs w:val="24"/>
          <w:lang w:eastAsia="de-DE"/>
        </w:rPr>
        <w:t xml:space="preserve">, seaweed </w:t>
      </w:r>
      <w:r w:rsidR="00374F85">
        <w:rPr>
          <w:rFonts w:ascii="Times New Roman" w:eastAsia="Times New Roman" w:hAnsi="Times New Roman" w:cs="Times New Roman"/>
          <w:sz w:val="24"/>
          <w:szCs w:val="24"/>
          <w:lang w:eastAsia="de-DE"/>
        </w:rPr>
        <w:t xml:space="preserve"> treated</w:t>
      </w:r>
      <w:r w:rsidRPr="00F87467">
        <w:rPr>
          <w:rFonts w:ascii="Times New Roman" w:eastAsia="Times New Roman" w:hAnsi="Times New Roman" w:cs="Times New Roman"/>
          <w:sz w:val="24"/>
          <w:szCs w:val="24"/>
          <w:lang w:eastAsia="de-DE"/>
        </w:rPr>
        <w:t xml:space="preserve"> with</w:t>
      </w:r>
      <w:r w:rsidR="00374F85">
        <w:rPr>
          <w:rFonts w:ascii="Times New Roman" w:eastAsia="Times New Roman" w:hAnsi="Times New Roman" w:cs="Times New Roman"/>
          <w:sz w:val="24"/>
          <w:szCs w:val="24"/>
          <w:lang w:eastAsia="de-DE"/>
        </w:rPr>
        <w:t>, (or materials extracted from seaweed using)</w:t>
      </w:r>
      <w:r w:rsidRPr="00F87467">
        <w:rPr>
          <w:rFonts w:ascii="Times New Roman" w:eastAsia="Times New Roman" w:hAnsi="Times New Roman" w:cs="Times New Roman"/>
          <w:sz w:val="24"/>
          <w:szCs w:val="24"/>
          <w:lang w:eastAsia="de-DE"/>
        </w:rPr>
        <w:t xml:space="preserve"> alkaline solution</w:t>
      </w:r>
      <w:r w:rsidR="006337DA" w:rsidRPr="00F87467">
        <w:rPr>
          <w:rFonts w:ascii="Times New Roman" w:eastAsia="Times New Roman" w:hAnsi="Times New Roman" w:cs="Times New Roman"/>
          <w:sz w:val="24"/>
          <w:szCs w:val="24"/>
          <w:lang w:eastAsia="de-DE"/>
        </w:rPr>
        <w:t xml:space="preserve">, for instance, </w:t>
      </w:r>
      <w:r w:rsidRPr="00F87467">
        <w:rPr>
          <w:rFonts w:ascii="Times New Roman" w:eastAsia="Times New Roman" w:hAnsi="Times New Roman" w:cs="Times New Roman"/>
          <w:sz w:val="24"/>
          <w:szCs w:val="24"/>
          <w:lang w:eastAsia="de-DE"/>
        </w:rPr>
        <w:t>do</w:t>
      </w:r>
      <w:r w:rsidR="00952CB5">
        <w:rPr>
          <w:rFonts w:ascii="Times New Roman" w:eastAsia="Times New Roman" w:hAnsi="Times New Roman" w:cs="Times New Roman"/>
          <w:sz w:val="24"/>
          <w:szCs w:val="24"/>
          <w:lang w:eastAsia="de-DE"/>
        </w:rPr>
        <w:t>es</w:t>
      </w:r>
      <w:r w:rsidRPr="00F87467">
        <w:rPr>
          <w:rFonts w:ascii="Times New Roman" w:eastAsia="Times New Roman" w:hAnsi="Times New Roman" w:cs="Times New Roman"/>
          <w:sz w:val="24"/>
          <w:szCs w:val="24"/>
          <w:lang w:eastAsia="de-DE"/>
        </w:rPr>
        <w:t xml:space="preserve"> not comply with the harmonised rules in CMC 2</w:t>
      </w:r>
      <w:r w:rsidR="006337DA" w:rsidRPr="00F87467">
        <w:rPr>
          <w:rFonts w:ascii="Times New Roman" w:eastAsia="Times New Roman" w:hAnsi="Times New Roman" w:cs="Times New Roman"/>
          <w:sz w:val="24"/>
          <w:szCs w:val="24"/>
          <w:lang w:eastAsia="de-DE"/>
        </w:rPr>
        <w:t>, but could be covered by the provision</w:t>
      </w:r>
      <w:r w:rsidR="00592E03" w:rsidRPr="00F87467">
        <w:rPr>
          <w:rFonts w:ascii="Times New Roman" w:eastAsia="Times New Roman" w:hAnsi="Times New Roman" w:cs="Times New Roman"/>
          <w:sz w:val="24"/>
          <w:szCs w:val="24"/>
          <w:lang w:eastAsia="de-DE"/>
        </w:rPr>
        <w:t>s</w:t>
      </w:r>
      <w:r w:rsidR="006337DA" w:rsidRPr="00F87467">
        <w:rPr>
          <w:rFonts w:ascii="Times New Roman" w:eastAsia="Times New Roman" w:hAnsi="Times New Roman" w:cs="Times New Roman"/>
          <w:sz w:val="24"/>
          <w:szCs w:val="24"/>
          <w:lang w:eastAsia="de-DE"/>
        </w:rPr>
        <w:t xml:space="preserve"> of CMC 1, under the conditions specified for this component category.</w:t>
      </w:r>
      <w:r w:rsidR="00540308" w:rsidRPr="00F87467">
        <w:rPr>
          <w:rFonts w:ascii="Times New Roman" w:eastAsia="Times New Roman" w:hAnsi="Times New Roman" w:cs="Times New Roman"/>
          <w:sz w:val="24"/>
          <w:szCs w:val="24"/>
          <w:lang w:eastAsia="de-DE"/>
        </w:rPr>
        <w:t xml:space="preserve"> </w:t>
      </w:r>
      <w:r w:rsidR="007E7A79" w:rsidRPr="00F87467">
        <w:rPr>
          <w:rFonts w:ascii="Times New Roman" w:eastAsia="Times New Roman" w:hAnsi="Times New Roman" w:cs="Times New Roman"/>
          <w:sz w:val="24"/>
          <w:szCs w:val="24"/>
          <w:lang w:eastAsia="de-DE"/>
        </w:rPr>
        <w:t xml:space="preserve">In case </w:t>
      </w:r>
      <w:r w:rsidR="00540308" w:rsidRPr="00F87467">
        <w:rPr>
          <w:rFonts w:ascii="Times New Roman" w:eastAsia="Times New Roman" w:hAnsi="Times New Roman" w:cs="Times New Roman"/>
          <w:sz w:val="24"/>
          <w:szCs w:val="24"/>
          <w:lang w:eastAsia="de-DE"/>
        </w:rPr>
        <w:t xml:space="preserve">the seaweed used </w:t>
      </w:r>
      <w:r w:rsidR="007E7A79" w:rsidRPr="00F87467">
        <w:rPr>
          <w:rFonts w:ascii="Times New Roman" w:eastAsia="Times New Roman" w:hAnsi="Times New Roman" w:cs="Times New Roman"/>
          <w:sz w:val="24"/>
          <w:szCs w:val="24"/>
          <w:lang w:eastAsia="de-DE"/>
        </w:rPr>
        <w:t>for</w:t>
      </w:r>
      <w:r w:rsidR="00540308" w:rsidRPr="00F87467">
        <w:rPr>
          <w:rFonts w:ascii="Times New Roman" w:eastAsia="Times New Roman" w:hAnsi="Times New Roman" w:cs="Times New Roman"/>
          <w:sz w:val="24"/>
          <w:szCs w:val="24"/>
          <w:lang w:eastAsia="de-DE"/>
        </w:rPr>
        <w:t xml:space="preserve"> t</w:t>
      </w:r>
      <w:r w:rsidR="007E7A79" w:rsidRPr="00F87467">
        <w:rPr>
          <w:rFonts w:ascii="Times New Roman" w:eastAsia="Times New Roman" w:hAnsi="Times New Roman" w:cs="Times New Roman"/>
          <w:sz w:val="24"/>
          <w:szCs w:val="24"/>
          <w:lang w:eastAsia="de-DE"/>
        </w:rPr>
        <w:t>he alkaline extraction is</w:t>
      </w:r>
      <w:r w:rsidR="00540308" w:rsidRPr="00F87467">
        <w:rPr>
          <w:rFonts w:ascii="Times New Roman" w:eastAsia="Times New Roman" w:hAnsi="Times New Roman" w:cs="Times New Roman"/>
          <w:sz w:val="24"/>
          <w:szCs w:val="24"/>
          <w:lang w:eastAsia="de-DE"/>
        </w:rPr>
        <w:t xml:space="preserve"> </w:t>
      </w:r>
      <w:r w:rsidR="007E7A79" w:rsidRPr="00F87467">
        <w:rPr>
          <w:rFonts w:ascii="Times New Roman" w:eastAsia="Times New Roman" w:hAnsi="Times New Roman" w:cs="Times New Roman"/>
          <w:sz w:val="24"/>
          <w:szCs w:val="24"/>
          <w:lang w:eastAsia="de-DE"/>
        </w:rPr>
        <w:t xml:space="preserve">a </w:t>
      </w:r>
      <w:r w:rsidR="00540308" w:rsidRPr="00F87467">
        <w:rPr>
          <w:rFonts w:ascii="Times New Roman" w:eastAsia="Times New Roman" w:hAnsi="Times New Roman" w:cs="Times New Roman"/>
          <w:sz w:val="24"/>
          <w:szCs w:val="24"/>
          <w:lang w:eastAsia="de-DE"/>
        </w:rPr>
        <w:t xml:space="preserve">waste, then the extract is </w:t>
      </w:r>
      <w:r w:rsidR="007E7A79" w:rsidRPr="00F87467">
        <w:rPr>
          <w:rFonts w:ascii="Times New Roman" w:eastAsia="Times New Roman" w:hAnsi="Times New Roman" w:cs="Times New Roman"/>
          <w:sz w:val="24"/>
          <w:szCs w:val="24"/>
          <w:lang w:eastAsia="de-DE"/>
        </w:rPr>
        <w:t xml:space="preserve">also a waste </w:t>
      </w:r>
      <w:r w:rsidR="00952CB5">
        <w:rPr>
          <w:rFonts w:ascii="Times New Roman" w:eastAsia="Times New Roman" w:hAnsi="Times New Roman" w:cs="Times New Roman"/>
          <w:sz w:val="24"/>
          <w:szCs w:val="24"/>
          <w:lang w:eastAsia="de-DE"/>
        </w:rPr>
        <w:t xml:space="preserve">(unless it has got national End-of-Waste status) </w:t>
      </w:r>
      <w:r w:rsidR="007E7A79" w:rsidRPr="00F87467">
        <w:rPr>
          <w:rFonts w:ascii="Times New Roman" w:eastAsia="Times New Roman" w:hAnsi="Times New Roman" w:cs="Times New Roman"/>
          <w:sz w:val="24"/>
          <w:szCs w:val="24"/>
          <w:lang w:eastAsia="de-DE"/>
        </w:rPr>
        <w:t xml:space="preserve">and thus it is </w:t>
      </w:r>
      <w:r w:rsidR="00540308" w:rsidRPr="00F87467">
        <w:rPr>
          <w:rFonts w:ascii="Times New Roman" w:eastAsia="Times New Roman" w:hAnsi="Times New Roman" w:cs="Times New Roman"/>
          <w:sz w:val="24"/>
          <w:szCs w:val="24"/>
          <w:lang w:eastAsia="de-DE"/>
        </w:rPr>
        <w:t>excluded from the scope of CMC 1</w:t>
      </w:r>
      <w:r w:rsidR="007E7A79" w:rsidRPr="00F87467">
        <w:rPr>
          <w:rFonts w:ascii="Times New Roman" w:eastAsia="Times New Roman" w:hAnsi="Times New Roman" w:cs="Times New Roman"/>
          <w:sz w:val="24"/>
          <w:szCs w:val="24"/>
          <w:lang w:eastAsia="de-DE"/>
        </w:rPr>
        <w:t>.</w:t>
      </w:r>
    </w:p>
    <w:p w14:paraId="704CC978" w14:textId="77777777" w:rsidR="006337DA" w:rsidRPr="00F87467" w:rsidRDefault="006337DA" w:rsidP="00F87467">
      <w:pPr>
        <w:pStyle w:val="ListParagraph"/>
        <w:tabs>
          <w:tab w:val="left" w:pos="426"/>
        </w:tabs>
        <w:spacing w:before="60" w:after="60" w:line="276" w:lineRule="auto"/>
        <w:ind w:left="0"/>
        <w:jc w:val="both"/>
        <w:rPr>
          <w:i/>
          <w:szCs w:val="24"/>
          <w:lang w:val="en-GB"/>
        </w:rPr>
      </w:pPr>
    </w:p>
    <w:p w14:paraId="1E89EB17" w14:textId="31DE90C7" w:rsidR="00616928" w:rsidRPr="00F87467" w:rsidRDefault="00616928" w:rsidP="00F87467">
      <w:pPr>
        <w:pStyle w:val="Heading2"/>
        <w:spacing w:before="60" w:after="60" w:line="276" w:lineRule="auto"/>
      </w:pPr>
      <w:r w:rsidRPr="00F87467">
        <w:t xml:space="preserve"> </w:t>
      </w:r>
      <w:bookmarkStart w:id="54" w:name="_Toc59185415"/>
      <w:r w:rsidRPr="00F87467">
        <w:t xml:space="preserve">If a </w:t>
      </w:r>
      <w:r w:rsidR="00222A60" w:rsidRPr="00F87467">
        <w:t>CMC 1</w:t>
      </w:r>
      <w:r w:rsidRPr="00F87467">
        <w:t xml:space="preserve"> </w:t>
      </w:r>
      <w:r w:rsidR="00B55F1E" w:rsidRPr="00F87467">
        <w:t xml:space="preserve">ingredient </w:t>
      </w:r>
      <w:r w:rsidRPr="00F87467">
        <w:t xml:space="preserve">is produced through intentional chemical reaction between two chemical substances (‘precursors’), at which point in the manufacturing process must the chemical substance(s) comply with </w:t>
      </w:r>
      <w:r w:rsidR="00B55F1E" w:rsidRPr="00F87467">
        <w:t>the requirements of CMC 1?</w:t>
      </w:r>
      <w:r w:rsidRPr="00F87467">
        <w:t xml:space="preserve"> Is it the precursors or the reaction product that need to correspond with the conditions in </w:t>
      </w:r>
      <w:r w:rsidR="00B55F1E" w:rsidRPr="00F87467">
        <w:t>CMC 1</w:t>
      </w:r>
      <w:r w:rsidRPr="00F87467">
        <w:t>?</w:t>
      </w:r>
      <w:bookmarkEnd w:id="54"/>
      <w:r w:rsidR="00625DE6" w:rsidRPr="00F87467">
        <w:t xml:space="preserve"> </w:t>
      </w:r>
    </w:p>
    <w:p w14:paraId="368B5945" w14:textId="455EEF38" w:rsidR="00512412" w:rsidRPr="00F87467" w:rsidRDefault="00594065" w:rsidP="00F87467">
      <w:pPr>
        <w:spacing w:before="60" w:after="60"/>
        <w:jc w:val="both"/>
        <w:rPr>
          <w:rFonts w:ascii="Times New Roman" w:eastAsia="Times New Roman" w:hAnsi="Times New Roman" w:cs="Times New Roman"/>
          <w:sz w:val="24"/>
          <w:szCs w:val="24"/>
          <w:lang w:eastAsia="de-DE"/>
        </w:rPr>
      </w:pPr>
      <w:r w:rsidRPr="00F87467">
        <w:rPr>
          <w:rFonts w:ascii="Times New Roman" w:eastAsia="Times New Roman" w:hAnsi="Times New Roman" w:cs="Times New Roman"/>
          <w:sz w:val="24"/>
          <w:szCs w:val="24"/>
          <w:lang w:eastAsia="de-DE"/>
        </w:rPr>
        <w:t xml:space="preserve">According to the general provisions of Annex II, the materials that are finally contained in an EU fertilising product have to comply with the requirements for at least one of the CMCs listed in this Annex. </w:t>
      </w:r>
    </w:p>
    <w:p w14:paraId="0DAD5C77" w14:textId="734ED81E" w:rsidR="00340E29" w:rsidRPr="00F87467" w:rsidRDefault="00512412" w:rsidP="00F87467">
      <w:pPr>
        <w:spacing w:before="60" w:after="60"/>
        <w:jc w:val="both"/>
        <w:rPr>
          <w:rFonts w:ascii="Times New Roman" w:eastAsia="Times New Roman" w:hAnsi="Times New Roman" w:cs="Times New Roman"/>
          <w:sz w:val="24"/>
          <w:szCs w:val="24"/>
          <w:lang w:eastAsia="de-DE"/>
        </w:rPr>
      </w:pPr>
      <w:r w:rsidRPr="00F87467">
        <w:rPr>
          <w:rFonts w:ascii="Times New Roman" w:eastAsia="Times New Roman" w:hAnsi="Times New Roman" w:cs="Times New Roman"/>
          <w:sz w:val="24"/>
          <w:szCs w:val="24"/>
          <w:lang w:eastAsia="de-DE"/>
        </w:rPr>
        <w:lastRenderedPageBreak/>
        <w:t>I</w:t>
      </w:r>
      <w:r w:rsidR="00625DE6" w:rsidRPr="00F87467">
        <w:rPr>
          <w:rFonts w:ascii="Times New Roman" w:eastAsia="Times New Roman" w:hAnsi="Times New Roman" w:cs="Times New Roman"/>
          <w:sz w:val="24"/>
          <w:szCs w:val="24"/>
          <w:lang w:eastAsia="de-DE"/>
        </w:rPr>
        <w:t xml:space="preserve">n </w:t>
      </w:r>
      <w:r w:rsidRPr="00F87467">
        <w:rPr>
          <w:rFonts w:ascii="Times New Roman" w:eastAsia="Times New Roman" w:hAnsi="Times New Roman" w:cs="Times New Roman"/>
          <w:sz w:val="24"/>
          <w:szCs w:val="24"/>
          <w:lang w:eastAsia="de-DE"/>
        </w:rPr>
        <w:t xml:space="preserve">some </w:t>
      </w:r>
      <w:r w:rsidR="00625DE6" w:rsidRPr="00F87467">
        <w:rPr>
          <w:rFonts w:ascii="Times New Roman" w:eastAsia="Times New Roman" w:hAnsi="Times New Roman" w:cs="Times New Roman"/>
          <w:sz w:val="24"/>
          <w:szCs w:val="24"/>
          <w:lang w:eastAsia="de-DE"/>
        </w:rPr>
        <w:t xml:space="preserve">cases </w:t>
      </w:r>
      <w:r w:rsidR="00594065" w:rsidRPr="00F87467">
        <w:rPr>
          <w:rFonts w:ascii="Times New Roman" w:eastAsia="Times New Roman" w:hAnsi="Times New Roman" w:cs="Times New Roman"/>
          <w:sz w:val="24"/>
          <w:szCs w:val="24"/>
          <w:lang w:eastAsia="de-DE"/>
        </w:rPr>
        <w:t xml:space="preserve">during the </w:t>
      </w:r>
      <w:r w:rsidR="00625DE6" w:rsidRPr="00F87467">
        <w:rPr>
          <w:rFonts w:ascii="Times New Roman" w:eastAsia="Times New Roman" w:hAnsi="Times New Roman" w:cs="Times New Roman"/>
          <w:sz w:val="24"/>
          <w:szCs w:val="24"/>
          <w:lang w:eastAsia="de-DE"/>
        </w:rPr>
        <w:t xml:space="preserve">manufacturing process </w:t>
      </w:r>
      <w:r w:rsidR="00594065" w:rsidRPr="00F87467">
        <w:rPr>
          <w:rFonts w:ascii="Times New Roman" w:eastAsia="Times New Roman" w:hAnsi="Times New Roman" w:cs="Times New Roman"/>
          <w:sz w:val="24"/>
          <w:szCs w:val="24"/>
          <w:lang w:eastAsia="de-DE"/>
        </w:rPr>
        <w:t xml:space="preserve">of a </w:t>
      </w:r>
      <w:r w:rsidRPr="00F87467">
        <w:rPr>
          <w:rFonts w:ascii="Times New Roman" w:eastAsia="Times New Roman" w:hAnsi="Times New Roman" w:cs="Times New Roman"/>
          <w:sz w:val="24"/>
          <w:szCs w:val="24"/>
          <w:lang w:eastAsia="de-DE"/>
        </w:rPr>
        <w:t>CMC 1</w:t>
      </w:r>
      <w:r w:rsidR="00984317">
        <w:rPr>
          <w:rFonts w:ascii="Times New Roman" w:eastAsia="Times New Roman" w:hAnsi="Times New Roman" w:cs="Times New Roman"/>
          <w:sz w:val="24"/>
          <w:szCs w:val="24"/>
          <w:lang w:eastAsia="de-DE"/>
        </w:rPr>
        <w:t>,</w:t>
      </w:r>
      <w:r w:rsidR="00594065" w:rsidRPr="00F87467">
        <w:rPr>
          <w:rFonts w:ascii="Times New Roman" w:eastAsia="Times New Roman" w:hAnsi="Times New Roman" w:cs="Times New Roman"/>
          <w:sz w:val="24"/>
          <w:szCs w:val="24"/>
          <w:lang w:eastAsia="de-DE"/>
        </w:rPr>
        <w:t xml:space="preserve"> different precursors are expected to react with each other following a series of chemical conversions. At the end of the </w:t>
      </w:r>
      <w:r w:rsidR="00625DE6" w:rsidRPr="00F87467">
        <w:rPr>
          <w:rFonts w:ascii="Times New Roman" w:eastAsia="Times New Roman" w:hAnsi="Times New Roman" w:cs="Times New Roman"/>
          <w:sz w:val="24"/>
          <w:szCs w:val="24"/>
          <w:lang w:eastAsia="de-DE"/>
        </w:rPr>
        <w:t xml:space="preserve">manufacturing </w:t>
      </w:r>
      <w:r w:rsidR="00594065" w:rsidRPr="00F87467">
        <w:rPr>
          <w:rFonts w:ascii="Times New Roman" w:eastAsia="Times New Roman" w:hAnsi="Times New Roman" w:cs="Times New Roman"/>
          <w:sz w:val="24"/>
          <w:szCs w:val="24"/>
          <w:lang w:eastAsia="de-DE"/>
        </w:rPr>
        <w:t>chain</w:t>
      </w:r>
      <w:r w:rsidR="00736D73" w:rsidRPr="00F87467">
        <w:rPr>
          <w:rFonts w:ascii="Times New Roman" w:eastAsia="Times New Roman" w:hAnsi="Times New Roman" w:cs="Times New Roman"/>
          <w:sz w:val="24"/>
          <w:szCs w:val="24"/>
          <w:lang w:eastAsia="de-DE"/>
        </w:rPr>
        <w:t>,</w:t>
      </w:r>
      <w:r w:rsidR="00594065" w:rsidRPr="00F87467">
        <w:rPr>
          <w:rFonts w:ascii="Times New Roman" w:eastAsia="Times New Roman" w:hAnsi="Times New Roman" w:cs="Times New Roman"/>
          <w:sz w:val="24"/>
          <w:szCs w:val="24"/>
          <w:lang w:eastAsia="de-DE"/>
        </w:rPr>
        <w:t xml:space="preserve"> a final chemical </w:t>
      </w:r>
      <w:r w:rsidR="00F5777A" w:rsidRPr="00F87467">
        <w:rPr>
          <w:rFonts w:ascii="Times New Roman" w:eastAsia="Times New Roman" w:hAnsi="Times New Roman" w:cs="Times New Roman"/>
          <w:sz w:val="24"/>
          <w:szCs w:val="24"/>
          <w:lang w:eastAsia="de-DE"/>
        </w:rPr>
        <w:t>substance or mixture</w:t>
      </w:r>
      <w:r w:rsidR="00625DE6" w:rsidRPr="00F87467">
        <w:rPr>
          <w:rFonts w:ascii="Times New Roman" w:eastAsia="Times New Roman" w:hAnsi="Times New Roman" w:cs="Times New Roman"/>
          <w:sz w:val="24"/>
          <w:szCs w:val="24"/>
          <w:lang w:eastAsia="de-DE"/>
        </w:rPr>
        <w:t xml:space="preserve"> of substances</w:t>
      </w:r>
      <w:r w:rsidR="00F5777A" w:rsidRPr="00F87467">
        <w:rPr>
          <w:rFonts w:ascii="Times New Roman" w:eastAsia="Times New Roman" w:hAnsi="Times New Roman" w:cs="Times New Roman"/>
          <w:sz w:val="24"/>
          <w:szCs w:val="24"/>
          <w:lang w:eastAsia="de-DE"/>
        </w:rPr>
        <w:t xml:space="preserve"> </w:t>
      </w:r>
      <w:r w:rsidR="00594065" w:rsidRPr="00F87467">
        <w:rPr>
          <w:rFonts w:ascii="Times New Roman" w:eastAsia="Times New Roman" w:hAnsi="Times New Roman" w:cs="Times New Roman"/>
          <w:sz w:val="24"/>
          <w:szCs w:val="24"/>
          <w:lang w:eastAsia="de-DE"/>
        </w:rPr>
        <w:t xml:space="preserve">will be produced. This final </w:t>
      </w:r>
      <w:r w:rsidR="00AB4396" w:rsidRPr="00F87467">
        <w:rPr>
          <w:rFonts w:ascii="Times New Roman" w:eastAsia="Times New Roman" w:hAnsi="Times New Roman" w:cs="Times New Roman"/>
          <w:sz w:val="24"/>
          <w:szCs w:val="24"/>
          <w:lang w:eastAsia="de-DE"/>
        </w:rPr>
        <w:t>chemical substance</w:t>
      </w:r>
      <w:r w:rsidR="00F5777A" w:rsidRPr="00F87467">
        <w:rPr>
          <w:rFonts w:ascii="Times New Roman" w:eastAsia="Times New Roman" w:hAnsi="Times New Roman" w:cs="Times New Roman"/>
          <w:sz w:val="24"/>
          <w:szCs w:val="24"/>
          <w:lang w:eastAsia="de-DE"/>
        </w:rPr>
        <w:t xml:space="preserve"> or mixture </w:t>
      </w:r>
      <w:r w:rsidR="00594065" w:rsidRPr="00F87467">
        <w:rPr>
          <w:rFonts w:ascii="Times New Roman" w:eastAsia="Times New Roman" w:hAnsi="Times New Roman" w:cs="Times New Roman"/>
          <w:sz w:val="24"/>
          <w:szCs w:val="24"/>
          <w:lang w:eastAsia="de-DE"/>
        </w:rPr>
        <w:t xml:space="preserve">will be part of the composition of the EU </w:t>
      </w:r>
      <w:r w:rsidR="00736D73" w:rsidRPr="00F87467">
        <w:rPr>
          <w:rFonts w:ascii="Times New Roman" w:eastAsia="Times New Roman" w:hAnsi="Times New Roman" w:cs="Times New Roman"/>
          <w:sz w:val="24"/>
          <w:szCs w:val="24"/>
          <w:lang w:eastAsia="de-DE"/>
        </w:rPr>
        <w:t>fertilising</w:t>
      </w:r>
      <w:r w:rsidR="00594065" w:rsidRPr="00F87467">
        <w:rPr>
          <w:rFonts w:ascii="Times New Roman" w:eastAsia="Times New Roman" w:hAnsi="Times New Roman" w:cs="Times New Roman"/>
          <w:sz w:val="24"/>
          <w:szCs w:val="24"/>
          <w:lang w:eastAsia="de-DE"/>
        </w:rPr>
        <w:t xml:space="preserve"> product</w:t>
      </w:r>
      <w:r w:rsidR="00625DE6" w:rsidRPr="00F87467">
        <w:rPr>
          <w:rFonts w:ascii="Times New Roman" w:eastAsia="Times New Roman" w:hAnsi="Times New Roman" w:cs="Times New Roman"/>
          <w:sz w:val="24"/>
          <w:szCs w:val="24"/>
          <w:lang w:eastAsia="de-DE"/>
        </w:rPr>
        <w:t xml:space="preserve">, so </w:t>
      </w:r>
      <w:r w:rsidR="00594065" w:rsidRPr="00F87467">
        <w:rPr>
          <w:rFonts w:ascii="Times New Roman" w:eastAsia="Times New Roman" w:hAnsi="Times New Roman" w:cs="Times New Roman"/>
          <w:sz w:val="24"/>
          <w:szCs w:val="24"/>
          <w:lang w:eastAsia="de-DE"/>
        </w:rPr>
        <w:t xml:space="preserve">only this </w:t>
      </w:r>
      <w:r w:rsidR="00625DE6" w:rsidRPr="00F87467">
        <w:rPr>
          <w:rFonts w:ascii="Times New Roman" w:eastAsia="Times New Roman" w:hAnsi="Times New Roman" w:cs="Times New Roman"/>
          <w:sz w:val="24"/>
          <w:szCs w:val="24"/>
          <w:lang w:eastAsia="de-DE"/>
        </w:rPr>
        <w:t xml:space="preserve">needs to </w:t>
      </w:r>
      <w:r w:rsidR="00594065" w:rsidRPr="00F87467">
        <w:rPr>
          <w:rFonts w:ascii="Times New Roman" w:eastAsia="Times New Roman" w:hAnsi="Times New Roman" w:cs="Times New Roman"/>
          <w:sz w:val="24"/>
          <w:szCs w:val="24"/>
          <w:lang w:eastAsia="de-DE"/>
        </w:rPr>
        <w:t xml:space="preserve">comply with the provisions </w:t>
      </w:r>
      <w:r w:rsidR="00736D73" w:rsidRPr="00F87467">
        <w:rPr>
          <w:rFonts w:ascii="Times New Roman" w:eastAsia="Times New Roman" w:hAnsi="Times New Roman" w:cs="Times New Roman"/>
          <w:sz w:val="24"/>
          <w:szCs w:val="24"/>
          <w:lang w:eastAsia="de-DE"/>
        </w:rPr>
        <w:t xml:space="preserve">of </w:t>
      </w:r>
      <w:r w:rsidRPr="00F87467">
        <w:rPr>
          <w:rFonts w:ascii="Times New Roman" w:eastAsia="Times New Roman" w:hAnsi="Times New Roman" w:cs="Times New Roman"/>
          <w:sz w:val="24"/>
          <w:szCs w:val="24"/>
          <w:lang w:eastAsia="de-DE"/>
        </w:rPr>
        <w:t>CMC 1</w:t>
      </w:r>
      <w:r w:rsidR="00736D73" w:rsidRPr="00F87467">
        <w:rPr>
          <w:rFonts w:ascii="Times New Roman" w:eastAsia="Times New Roman" w:hAnsi="Times New Roman" w:cs="Times New Roman"/>
          <w:sz w:val="24"/>
          <w:szCs w:val="24"/>
          <w:lang w:eastAsia="de-DE"/>
        </w:rPr>
        <w:t>.</w:t>
      </w:r>
      <w:r w:rsidR="0022031D" w:rsidRPr="00F87467">
        <w:rPr>
          <w:rFonts w:ascii="Times New Roman" w:eastAsia="Times New Roman" w:hAnsi="Times New Roman" w:cs="Times New Roman"/>
          <w:sz w:val="24"/>
          <w:szCs w:val="24"/>
          <w:lang w:eastAsia="de-DE"/>
        </w:rPr>
        <w:t xml:space="preserve"> </w:t>
      </w:r>
    </w:p>
    <w:p w14:paraId="18B01DEB" w14:textId="1AED9A6F" w:rsidR="00324E31" w:rsidRDefault="00324E31" w:rsidP="00F87467">
      <w:pPr>
        <w:spacing w:before="60" w:after="60"/>
        <w:jc w:val="both"/>
        <w:rPr>
          <w:rFonts w:ascii="Times New Roman" w:eastAsia="Times New Roman" w:hAnsi="Times New Roman" w:cs="Times New Roman"/>
          <w:sz w:val="24"/>
          <w:szCs w:val="24"/>
          <w:lang w:eastAsia="de-DE"/>
        </w:rPr>
      </w:pPr>
      <w:r w:rsidRPr="00F87467">
        <w:rPr>
          <w:rFonts w:ascii="Times New Roman" w:eastAsia="Times New Roman" w:hAnsi="Times New Roman" w:cs="Times New Roman"/>
          <w:sz w:val="24"/>
          <w:szCs w:val="24"/>
          <w:lang w:eastAsia="de-DE"/>
        </w:rPr>
        <w:t xml:space="preserve">For example: Spent sulphuric acid </w:t>
      </w:r>
      <w:r w:rsidR="00EF7D10" w:rsidRPr="00F87467">
        <w:rPr>
          <w:rFonts w:ascii="Times New Roman" w:eastAsia="Times New Roman" w:hAnsi="Times New Roman" w:cs="Times New Roman"/>
          <w:sz w:val="24"/>
          <w:szCs w:val="24"/>
          <w:lang w:eastAsia="de-DE"/>
        </w:rPr>
        <w:t xml:space="preserve">may be </w:t>
      </w:r>
      <w:r w:rsidRPr="00F87467">
        <w:rPr>
          <w:rFonts w:ascii="Times New Roman" w:eastAsia="Times New Roman" w:hAnsi="Times New Roman" w:cs="Times New Roman"/>
          <w:sz w:val="24"/>
          <w:szCs w:val="24"/>
          <w:lang w:eastAsia="de-DE"/>
        </w:rPr>
        <w:t xml:space="preserve">a by-product from industry. If it meets all requirements for constituting a by-product according to the </w:t>
      </w:r>
      <w:hyperlink r:id="rId98" w:history="1">
        <w:r w:rsidR="00183277" w:rsidRPr="00D03F57">
          <w:rPr>
            <w:rStyle w:val="Hyperlink"/>
            <w:rFonts w:ascii="Times New Roman" w:eastAsia="Times New Roman" w:hAnsi="Times New Roman" w:cs="Times New Roman"/>
            <w:sz w:val="24"/>
            <w:szCs w:val="24"/>
            <w:lang w:eastAsia="de-DE"/>
          </w:rPr>
          <w:t>WFD</w:t>
        </w:r>
      </w:hyperlink>
      <w:r w:rsidRPr="00F87467">
        <w:rPr>
          <w:rFonts w:ascii="Times New Roman" w:eastAsia="Times New Roman" w:hAnsi="Times New Roman" w:cs="Times New Roman"/>
          <w:sz w:val="24"/>
          <w:szCs w:val="24"/>
          <w:lang w:eastAsia="de-DE"/>
        </w:rPr>
        <w:t xml:space="preserve"> (Article 5(1)), it can be directly used as </w:t>
      </w:r>
      <w:r w:rsidRPr="00F87467">
        <w:rPr>
          <w:rFonts w:ascii="Times New Roman" w:eastAsia="Times New Roman" w:hAnsi="Times New Roman" w:cs="Times New Roman"/>
          <w:sz w:val="24"/>
          <w:szCs w:val="24"/>
          <w:u w:val="single"/>
          <w:lang w:eastAsia="de-DE"/>
        </w:rPr>
        <w:t>a reactant</w:t>
      </w:r>
      <w:r w:rsidRPr="00F87467">
        <w:rPr>
          <w:rFonts w:ascii="Times New Roman" w:eastAsia="Times New Roman" w:hAnsi="Times New Roman" w:cs="Times New Roman"/>
          <w:sz w:val="24"/>
          <w:szCs w:val="24"/>
          <w:lang w:eastAsia="de-DE"/>
        </w:rPr>
        <w:t xml:space="preserve"> for the production of a fertiliser</w:t>
      </w:r>
      <w:r w:rsidR="00952CB5">
        <w:rPr>
          <w:rFonts w:ascii="Times New Roman" w:eastAsia="Times New Roman" w:hAnsi="Times New Roman" w:cs="Times New Roman"/>
          <w:sz w:val="24"/>
          <w:szCs w:val="24"/>
          <w:lang w:eastAsia="de-DE"/>
        </w:rPr>
        <w:t xml:space="preserve"> under CMC 1</w:t>
      </w:r>
      <w:r w:rsidRPr="00F87467">
        <w:rPr>
          <w:rFonts w:ascii="Times New Roman" w:eastAsia="Times New Roman" w:hAnsi="Times New Roman" w:cs="Times New Roman"/>
          <w:sz w:val="24"/>
          <w:szCs w:val="24"/>
          <w:lang w:eastAsia="de-DE"/>
        </w:rPr>
        <w:t>. In the latter production process, the sulphuric acid chemically react</w:t>
      </w:r>
      <w:r w:rsidR="00952CB5">
        <w:rPr>
          <w:rFonts w:ascii="Times New Roman" w:eastAsia="Times New Roman" w:hAnsi="Times New Roman" w:cs="Times New Roman"/>
          <w:sz w:val="24"/>
          <w:szCs w:val="24"/>
          <w:lang w:eastAsia="de-DE"/>
        </w:rPr>
        <w:t>s</w:t>
      </w:r>
      <w:r w:rsidRPr="00F87467">
        <w:rPr>
          <w:rFonts w:ascii="Times New Roman" w:eastAsia="Times New Roman" w:hAnsi="Times New Roman" w:cs="Times New Roman"/>
          <w:sz w:val="24"/>
          <w:szCs w:val="24"/>
          <w:lang w:eastAsia="de-DE"/>
        </w:rPr>
        <w:t xml:space="preserve"> with rock phosphate, dried and granulated to single super phosphate. The sulphuric acid is not directly used as a fertilising product component, so it cannot be considered as a CMC 11 material. It is used as a precursor to react with another substance (phosphate rock) to produce the single super phosphate which will be part of the final composition of the EU fertilising product. For this reason the single super phosphate</w:t>
      </w:r>
      <w:r w:rsidR="001D7C2A" w:rsidRPr="00F87467">
        <w:rPr>
          <w:rFonts w:ascii="Times New Roman" w:eastAsia="Times New Roman" w:hAnsi="Times New Roman" w:cs="Times New Roman"/>
          <w:sz w:val="24"/>
          <w:szCs w:val="24"/>
          <w:lang w:eastAsia="de-DE"/>
        </w:rPr>
        <w:t>, in the example case explained above,</w:t>
      </w:r>
      <w:r w:rsidRPr="00F87467">
        <w:rPr>
          <w:rFonts w:ascii="Times New Roman" w:eastAsia="Times New Roman" w:hAnsi="Times New Roman" w:cs="Times New Roman"/>
          <w:sz w:val="24"/>
          <w:szCs w:val="24"/>
          <w:lang w:eastAsia="de-DE"/>
        </w:rPr>
        <w:t xml:space="preserve"> is eligible to be considered as a material covered by CMC 1.</w:t>
      </w:r>
    </w:p>
    <w:p w14:paraId="25A72D11" w14:textId="77777777" w:rsidR="00BC055D" w:rsidRPr="00F87467" w:rsidRDefault="00BC055D" w:rsidP="00F87467">
      <w:pPr>
        <w:spacing w:before="60" w:after="60"/>
        <w:jc w:val="both"/>
        <w:rPr>
          <w:rFonts w:ascii="Times New Roman" w:eastAsia="Times New Roman" w:hAnsi="Times New Roman" w:cs="Times New Roman"/>
          <w:sz w:val="24"/>
          <w:szCs w:val="24"/>
          <w:lang w:eastAsia="de-DE"/>
        </w:rPr>
      </w:pPr>
    </w:p>
    <w:p w14:paraId="1693477D" w14:textId="3FBBE9BE" w:rsidR="00E55648" w:rsidRPr="00F87467" w:rsidRDefault="00E864CA" w:rsidP="00F87467">
      <w:pPr>
        <w:pStyle w:val="Heading2"/>
        <w:spacing w:before="60" w:after="60" w:line="276" w:lineRule="auto"/>
      </w:pPr>
      <w:r>
        <w:t xml:space="preserve"> </w:t>
      </w:r>
      <w:bookmarkStart w:id="55" w:name="_Toc59185416"/>
      <w:r w:rsidR="00591E39" w:rsidRPr="00F87467">
        <w:t>Are manufacturers allowed to use derived products from animal by-products, such as processed manure, in EU fertilising products?</w:t>
      </w:r>
      <w:bookmarkEnd w:id="55"/>
    </w:p>
    <w:p w14:paraId="59BC4743" w14:textId="7F951DD1" w:rsidR="00591E39" w:rsidRPr="00F87467" w:rsidRDefault="00591E39" w:rsidP="00F87467">
      <w:pPr>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The </w:t>
      </w:r>
      <w:hyperlink r:id="rId99"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creates the framework for manufacturers to use products derived from animal by-products:  </w:t>
      </w:r>
    </w:p>
    <w:p w14:paraId="2706CC1A" w14:textId="77777777" w:rsidR="00591E39" w:rsidRPr="00F87467" w:rsidRDefault="00591E39" w:rsidP="00E717A1">
      <w:pPr>
        <w:pStyle w:val="ListParagraph"/>
        <w:numPr>
          <w:ilvl w:val="0"/>
          <w:numId w:val="13"/>
        </w:numPr>
        <w:spacing w:before="60" w:after="60" w:line="276" w:lineRule="auto"/>
        <w:jc w:val="both"/>
        <w:rPr>
          <w:szCs w:val="24"/>
          <w:lang w:val="en-GB"/>
        </w:rPr>
      </w:pPr>
      <w:r w:rsidRPr="00F87467">
        <w:rPr>
          <w:szCs w:val="24"/>
          <w:lang w:val="en-GB"/>
        </w:rPr>
        <w:t xml:space="preserve">either as input materials for some component material categories (such as compost and digestate) or  </w:t>
      </w:r>
    </w:p>
    <w:p w14:paraId="4AD0D776" w14:textId="66FD527F" w:rsidR="00591E39" w:rsidRPr="00F87467" w:rsidRDefault="00591E39" w:rsidP="00E717A1">
      <w:pPr>
        <w:pStyle w:val="ListParagraph"/>
        <w:numPr>
          <w:ilvl w:val="0"/>
          <w:numId w:val="13"/>
        </w:numPr>
        <w:spacing w:before="60" w:after="60" w:line="276" w:lineRule="auto"/>
        <w:jc w:val="both"/>
        <w:rPr>
          <w:szCs w:val="24"/>
          <w:lang w:val="en-GB"/>
        </w:rPr>
      </w:pPr>
      <w:r w:rsidRPr="00F87467">
        <w:rPr>
          <w:szCs w:val="24"/>
          <w:lang w:val="en-GB"/>
        </w:rPr>
        <w:t xml:space="preserve">as a standalone component </w:t>
      </w:r>
      <w:r w:rsidR="00AB4396" w:rsidRPr="00F87467">
        <w:rPr>
          <w:szCs w:val="24"/>
          <w:lang w:val="en-GB"/>
        </w:rPr>
        <w:t>material belonging</w:t>
      </w:r>
      <w:r w:rsidR="00512412" w:rsidRPr="00F87467">
        <w:rPr>
          <w:szCs w:val="24"/>
          <w:lang w:val="en-GB"/>
        </w:rPr>
        <w:t xml:space="preserve"> to CMC 10</w:t>
      </w:r>
      <w:r w:rsidRPr="00F87467">
        <w:rPr>
          <w:szCs w:val="24"/>
          <w:lang w:val="en-GB"/>
        </w:rPr>
        <w:t xml:space="preserve">.  </w:t>
      </w:r>
    </w:p>
    <w:p w14:paraId="48E6B7C9" w14:textId="284A433B" w:rsidR="00591E39" w:rsidRPr="00F87467" w:rsidRDefault="00591E39" w:rsidP="00F87467">
      <w:pPr>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However, in both cases, there is a precondition: an end point in the manufacturing chain for that derived product </w:t>
      </w:r>
      <w:r w:rsidR="00952CB5">
        <w:rPr>
          <w:rFonts w:ascii="Times New Roman" w:hAnsi="Times New Roman" w:cs="Times New Roman"/>
          <w:sz w:val="24"/>
          <w:szCs w:val="24"/>
        </w:rPr>
        <w:t xml:space="preserve">(for use in fertilising products) </w:t>
      </w:r>
      <w:r w:rsidRPr="00F87467">
        <w:rPr>
          <w:rFonts w:ascii="Times New Roman" w:hAnsi="Times New Roman" w:cs="Times New Roman"/>
          <w:sz w:val="24"/>
          <w:szCs w:val="24"/>
        </w:rPr>
        <w:t xml:space="preserve">has to be determined under the </w:t>
      </w:r>
      <w:hyperlink r:id="rId100" w:history="1">
        <w:r w:rsidR="00183277" w:rsidRPr="00D53265">
          <w:rPr>
            <w:rStyle w:val="Hyperlink"/>
            <w:rFonts w:ascii="Times New Roman" w:hAnsi="Times New Roman" w:cs="Times New Roman"/>
            <w:sz w:val="24"/>
            <w:szCs w:val="24"/>
          </w:rPr>
          <w:t>ABPR</w:t>
        </w:r>
      </w:hyperlink>
      <w:r w:rsidRPr="00F87467">
        <w:rPr>
          <w:rFonts w:ascii="Times New Roman" w:hAnsi="Times New Roman" w:cs="Times New Roman"/>
          <w:sz w:val="24"/>
          <w:szCs w:val="24"/>
        </w:rPr>
        <w:t xml:space="preserve">.   </w:t>
      </w:r>
    </w:p>
    <w:p w14:paraId="562585C4" w14:textId="276B6EA4" w:rsidR="00591E39" w:rsidRPr="00F87467" w:rsidRDefault="00D1378B" w:rsidP="00F87467">
      <w:pPr>
        <w:tabs>
          <w:tab w:val="left" w:pos="426"/>
        </w:tabs>
        <w:spacing w:before="60" w:after="60"/>
        <w:jc w:val="both"/>
        <w:rPr>
          <w:rFonts w:ascii="Times New Roman" w:hAnsi="Times New Roman" w:cs="Times New Roman"/>
          <w:sz w:val="24"/>
          <w:szCs w:val="24"/>
        </w:rPr>
      </w:pPr>
      <w:r w:rsidRPr="0059677B">
        <w:rPr>
          <w:rFonts w:ascii="Times New Roman" w:hAnsi="Times New Roman" w:cs="Times New Roman"/>
          <w:sz w:val="24"/>
          <w:szCs w:val="24"/>
        </w:rPr>
        <w:t>For the moment, n</w:t>
      </w:r>
      <w:r w:rsidR="00591E39" w:rsidRPr="0059677B">
        <w:rPr>
          <w:rFonts w:ascii="Times New Roman" w:hAnsi="Times New Roman" w:cs="Times New Roman"/>
          <w:sz w:val="24"/>
          <w:szCs w:val="24"/>
        </w:rPr>
        <w:t>one</w:t>
      </w:r>
      <w:r w:rsidR="00591E39" w:rsidRPr="00F87467">
        <w:rPr>
          <w:rFonts w:ascii="Times New Roman" w:hAnsi="Times New Roman" w:cs="Times New Roman"/>
          <w:sz w:val="24"/>
          <w:szCs w:val="24"/>
        </w:rPr>
        <w:t xml:space="preserve"> of these products (processed manure included) have an end point defined under the </w:t>
      </w:r>
      <w:hyperlink r:id="rId101" w:history="1">
        <w:r w:rsidR="00591E39" w:rsidRPr="00D53265">
          <w:rPr>
            <w:rStyle w:val="Hyperlink"/>
            <w:rFonts w:ascii="Times New Roman" w:hAnsi="Times New Roman" w:cs="Times New Roman"/>
            <w:sz w:val="24"/>
            <w:szCs w:val="24"/>
          </w:rPr>
          <w:t>ABPR</w:t>
        </w:r>
      </w:hyperlink>
      <w:r w:rsidR="00591E39" w:rsidRPr="00F87467">
        <w:rPr>
          <w:rFonts w:ascii="Times New Roman" w:hAnsi="Times New Roman" w:cs="Times New Roman"/>
          <w:sz w:val="24"/>
          <w:szCs w:val="24"/>
        </w:rPr>
        <w:t xml:space="preserve">. That is because, hitherto, the Commission has not been empowered under the </w:t>
      </w:r>
      <w:hyperlink r:id="rId102" w:history="1">
        <w:r w:rsidR="00591E39" w:rsidRPr="00D53265">
          <w:rPr>
            <w:rStyle w:val="Hyperlink"/>
            <w:rFonts w:ascii="Times New Roman" w:hAnsi="Times New Roman" w:cs="Times New Roman"/>
            <w:sz w:val="24"/>
            <w:szCs w:val="24"/>
          </w:rPr>
          <w:t>ABPR</w:t>
        </w:r>
      </w:hyperlink>
      <w:r w:rsidR="00591E39" w:rsidRPr="00F87467">
        <w:rPr>
          <w:rFonts w:ascii="Times New Roman" w:hAnsi="Times New Roman" w:cs="Times New Roman"/>
          <w:sz w:val="24"/>
          <w:szCs w:val="24"/>
        </w:rPr>
        <w:t xml:space="preserve"> to define end points for </w:t>
      </w:r>
      <w:r w:rsidR="00017550">
        <w:rPr>
          <w:rFonts w:ascii="Times New Roman" w:hAnsi="Times New Roman" w:cs="Times New Roman"/>
          <w:sz w:val="24"/>
          <w:szCs w:val="24"/>
        </w:rPr>
        <w:t>organic fertilisers and soil improvers</w:t>
      </w:r>
      <w:r w:rsidR="00591E39" w:rsidRPr="00F87467">
        <w:rPr>
          <w:rFonts w:ascii="Times New Roman" w:hAnsi="Times New Roman" w:cs="Times New Roman"/>
          <w:sz w:val="24"/>
          <w:szCs w:val="24"/>
        </w:rPr>
        <w:t xml:space="preserve">. The </w:t>
      </w:r>
      <w:hyperlink r:id="rId103" w:history="1">
        <w:r w:rsidR="00591E39" w:rsidRPr="00D53265">
          <w:rPr>
            <w:rStyle w:val="Hyperlink"/>
            <w:rFonts w:ascii="Times New Roman" w:hAnsi="Times New Roman" w:cs="Times New Roman"/>
            <w:sz w:val="24"/>
            <w:szCs w:val="24"/>
          </w:rPr>
          <w:t>FPR</w:t>
        </w:r>
      </w:hyperlink>
      <w:r w:rsidR="00591E39" w:rsidRPr="00F87467">
        <w:rPr>
          <w:rFonts w:ascii="Times New Roman" w:hAnsi="Times New Roman" w:cs="Times New Roman"/>
          <w:sz w:val="24"/>
          <w:szCs w:val="24"/>
        </w:rPr>
        <w:t xml:space="preserve"> changed that by giving the Commission an empowerment to determine an end point in the manufacturing chain under the </w:t>
      </w:r>
      <w:hyperlink r:id="rId104" w:history="1">
        <w:r w:rsidR="00591E39" w:rsidRPr="00D53265">
          <w:rPr>
            <w:rStyle w:val="Hyperlink"/>
            <w:rFonts w:ascii="Times New Roman" w:hAnsi="Times New Roman" w:cs="Times New Roman"/>
            <w:sz w:val="24"/>
            <w:szCs w:val="24"/>
          </w:rPr>
          <w:t>ABPR</w:t>
        </w:r>
      </w:hyperlink>
      <w:r w:rsidR="00591E39" w:rsidRPr="00F87467">
        <w:rPr>
          <w:rFonts w:ascii="Times New Roman" w:hAnsi="Times New Roman" w:cs="Times New Roman"/>
          <w:sz w:val="24"/>
          <w:szCs w:val="24"/>
        </w:rPr>
        <w:t xml:space="preserve"> by delegated acts. </w:t>
      </w:r>
    </w:p>
    <w:p w14:paraId="6054FB3C" w14:textId="60EC3729" w:rsidR="00111D78" w:rsidRDefault="00111D78" w:rsidP="00F87467">
      <w:pPr>
        <w:spacing w:before="60" w:after="60"/>
        <w:jc w:val="both"/>
        <w:rPr>
          <w:rFonts w:ascii="Times New Roman" w:hAnsi="Times New Roman" w:cs="Times New Roman"/>
          <w:sz w:val="24"/>
          <w:szCs w:val="24"/>
        </w:rPr>
      </w:pPr>
      <w:r w:rsidRPr="004C34EF">
        <w:rPr>
          <w:rFonts w:ascii="Times New Roman" w:hAnsi="Times New Roman" w:cs="Times New Roman"/>
          <w:sz w:val="24"/>
          <w:szCs w:val="24"/>
        </w:rPr>
        <w:t xml:space="preserve">The end-point as determined in the </w:t>
      </w:r>
      <w:hyperlink r:id="rId105" w:history="1">
        <w:r w:rsidRPr="004C34EF">
          <w:rPr>
            <w:rStyle w:val="Hyperlink"/>
            <w:rFonts w:ascii="Times New Roman" w:hAnsi="Times New Roman" w:cs="Times New Roman"/>
            <w:sz w:val="24"/>
            <w:szCs w:val="24"/>
          </w:rPr>
          <w:t>ABPR</w:t>
        </w:r>
      </w:hyperlink>
      <w:r w:rsidRPr="004C34EF">
        <w:rPr>
          <w:rFonts w:ascii="Times New Roman" w:hAnsi="Times New Roman" w:cs="Times New Roman"/>
          <w:sz w:val="24"/>
          <w:szCs w:val="24"/>
        </w:rPr>
        <w:t xml:space="preserve"> has to be reached by the end of the manufacturing process of the EU fertilising products.</w:t>
      </w:r>
      <w:r>
        <w:rPr>
          <w:rFonts w:ascii="Times New Roman" w:hAnsi="Times New Roman" w:cs="Times New Roman"/>
          <w:sz w:val="24"/>
          <w:szCs w:val="24"/>
        </w:rPr>
        <w:t xml:space="preserve"> </w:t>
      </w:r>
    </w:p>
    <w:p w14:paraId="788991AF" w14:textId="32684464" w:rsidR="00591E39" w:rsidRPr="00F87467" w:rsidRDefault="00591E39" w:rsidP="00F87467">
      <w:pPr>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In addition, to use a derived product as a component material, in addition to having the end point determined, the derived product has also to be listed in the corresponding component material category in Annex II to the </w:t>
      </w:r>
      <w:hyperlink r:id="rId106"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w:t>
      </w:r>
    </w:p>
    <w:p w14:paraId="339482B4" w14:textId="7D317D62" w:rsidR="00340E29" w:rsidRPr="00F87467" w:rsidRDefault="00340E29" w:rsidP="00F87467">
      <w:pPr>
        <w:spacing w:before="60" w:after="60"/>
        <w:jc w:val="both"/>
        <w:rPr>
          <w:rFonts w:ascii="Times New Roman" w:hAnsi="Times New Roman" w:cs="Times New Roman"/>
          <w:color w:val="FF0000"/>
          <w:sz w:val="24"/>
          <w:szCs w:val="24"/>
        </w:rPr>
      </w:pPr>
    </w:p>
    <w:p w14:paraId="6EA4076B" w14:textId="206F67B8" w:rsidR="00E55648" w:rsidRPr="00F87467" w:rsidRDefault="00E55648" w:rsidP="00F87467">
      <w:pPr>
        <w:pStyle w:val="Heading2"/>
        <w:spacing w:before="60" w:after="60" w:line="276" w:lineRule="auto"/>
      </w:pPr>
      <w:r w:rsidRPr="00F87467">
        <w:t xml:space="preserve"> </w:t>
      </w:r>
      <w:bookmarkStart w:id="56" w:name="_Toc59185417"/>
      <w:r w:rsidRPr="00F87467">
        <w:t>Are manufacturers allowed to use plant/plant parts grown for the production of biogas in compost or digestate other than fresh crop digestate?</w:t>
      </w:r>
      <w:bookmarkEnd w:id="56"/>
    </w:p>
    <w:p w14:paraId="23E64C0D" w14:textId="57F320AB" w:rsidR="00E55648" w:rsidRPr="00F87467" w:rsidRDefault="00E55648" w:rsidP="00F87467">
      <w:pPr>
        <w:spacing w:before="60" w:after="60"/>
        <w:jc w:val="both"/>
        <w:rPr>
          <w:rFonts w:ascii="Times New Roman" w:hAnsi="Times New Roman" w:cs="Times New Roman"/>
          <w:sz w:val="24"/>
          <w:szCs w:val="24"/>
          <w:lang w:eastAsia="de-DE"/>
        </w:rPr>
      </w:pPr>
      <w:r w:rsidRPr="00F87467">
        <w:rPr>
          <w:rFonts w:ascii="Times New Roman" w:hAnsi="Times New Roman" w:cs="Times New Roman"/>
          <w:sz w:val="24"/>
          <w:szCs w:val="24"/>
          <w:lang w:eastAsia="de-DE"/>
        </w:rPr>
        <w:t>Yes. CMC 3 (Compost) and CMC 5 (Digestate other than fresh crop digestate) have an exhaustive list of the input materials to be used. These lists include living or dead organisms or parts thereof, except:</w:t>
      </w:r>
    </w:p>
    <w:p w14:paraId="61FE1672" w14:textId="4E94D3AC" w:rsidR="00E55648" w:rsidRPr="004C34EF" w:rsidRDefault="00E55648" w:rsidP="006E54DF">
      <w:pPr>
        <w:pStyle w:val="ListParagraph"/>
        <w:numPr>
          <w:ilvl w:val="0"/>
          <w:numId w:val="37"/>
        </w:numPr>
        <w:spacing w:before="60" w:after="60"/>
        <w:jc w:val="both"/>
        <w:rPr>
          <w:szCs w:val="24"/>
          <w:lang w:val="en-GB"/>
        </w:rPr>
      </w:pPr>
      <w:r w:rsidRPr="004C34EF">
        <w:rPr>
          <w:szCs w:val="24"/>
          <w:lang w:val="en-GB"/>
        </w:rPr>
        <w:lastRenderedPageBreak/>
        <w:t>the organic fraction of mixed municipal household waste</w:t>
      </w:r>
    </w:p>
    <w:p w14:paraId="0491B832" w14:textId="19035FD0" w:rsidR="00E55648" w:rsidRPr="004C34EF" w:rsidRDefault="00E55648" w:rsidP="006E54DF">
      <w:pPr>
        <w:pStyle w:val="ListParagraph"/>
        <w:numPr>
          <w:ilvl w:val="0"/>
          <w:numId w:val="37"/>
        </w:numPr>
        <w:spacing w:before="60" w:after="60"/>
        <w:jc w:val="both"/>
        <w:rPr>
          <w:szCs w:val="24"/>
          <w:lang w:val="en-GB"/>
        </w:rPr>
      </w:pPr>
      <w:r w:rsidRPr="004C34EF">
        <w:rPr>
          <w:szCs w:val="24"/>
          <w:lang w:val="en-GB"/>
        </w:rPr>
        <w:t>sewage sludge, industrial sludge or dredging sludge and</w:t>
      </w:r>
    </w:p>
    <w:p w14:paraId="2CA5C17B" w14:textId="2CF4C75A" w:rsidR="00E55648" w:rsidRPr="004C34EF" w:rsidRDefault="00E55648" w:rsidP="006E54DF">
      <w:pPr>
        <w:pStyle w:val="ListParagraph"/>
        <w:numPr>
          <w:ilvl w:val="0"/>
          <w:numId w:val="37"/>
        </w:numPr>
        <w:spacing w:before="60" w:after="60"/>
        <w:jc w:val="both"/>
        <w:rPr>
          <w:szCs w:val="24"/>
          <w:lang w:val="en-GB"/>
        </w:rPr>
      </w:pPr>
      <w:r w:rsidRPr="004C34EF">
        <w:rPr>
          <w:szCs w:val="24"/>
          <w:lang w:val="en-GB"/>
        </w:rPr>
        <w:t>animal by-products or derived products under certain conditions.</w:t>
      </w:r>
    </w:p>
    <w:p w14:paraId="6CEAC58C" w14:textId="1EF2B282" w:rsidR="00E55648" w:rsidRPr="00F87467" w:rsidRDefault="00E55648" w:rsidP="00F87467">
      <w:pPr>
        <w:spacing w:before="60" w:after="60"/>
        <w:jc w:val="both"/>
        <w:rPr>
          <w:rFonts w:ascii="Times New Roman" w:hAnsi="Times New Roman" w:cs="Times New Roman"/>
          <w:sz w:val="24"/>
          <w:szCs w:val="24"/>
        </w:rPr>
      </w:pPr>
      <w:r w:rsidRPr="00F87467">
        <w:rPr>
          <w:rFonts w:ascii="Times New Roman" w:hAnsi="Times New Roman" w:cs="Times New Roman"/>
          <w:sz w:val="24"/>
          <w:szCs w:val="24"/>
        </w:rPr>
        <w:t>Manufacturers may</w:t>
      </w:r>
      <w:r w:rsidR="00AB4396" w:rsidRPr="00F87467">
        <w:rPr>
          <w:rFonts w:ascii="Times New Roman" w:hAnsi="Times New Roman" w:cs="Times New Roman"/>
          <w:sz w:val="24"/>
          <w:szCs w:val="24"/>
        </w:rPr>
        <w:t>,</w:t>
      </w:r>
      <w:r w:rsidRPr="00F87467">
        <w:rPr>
          <w:rFonts w:ascii="Times New Roman" w:hAnsi="Times New Roman" w:cs="Times New Roman"/>
          <w:sz w:val="24"/>
          <w:szCs w:val="24"/>
        </w:rPr>
        <w:t xml:space="preserve"> therefore, use any plants or plant parts in compost or digestate other than fresh crop digestate. </w:t>
      </w:r>
    </w:p>
    <w:p w14:paraId="3050427F" w14:textId="1B550A81" w:rsidR="00E55648" w:rsidRPr="00F87467" w:rsidRDefault="00E55648" w:rsidP="00F87467">
      <w:pPr>
        <w:spacing w:before="60" w:after="60"/>
        <w:jc w:val="both"/>
        <w:rPr>
          <w:rFonts w:ascii="Times New Roman" w:hAnsi="Times New Roman" w:cs="Times New Roman"/>
          <w:sz w:val="24"/>
          <w:szCs w:val="24"/>
        </w:rPr>
      </w:pPr>
      <w:r w:rsidRPr="004C34EF">
        <w:rPr>
          <w:rFonts w:ascii="Times New Roman" w:hAnsi="Times New Roman" w:cs="Times New Roman"/>
          <w:sz w:val="24"/>
          <w:szCs w:val="24"/>
        </w:rPr>
        <w:t>However, these plants or plant parts have to be unprocessed or processed only with one of the method</w:t>
      </w:r>
      <w:r w:rsidR="00952CB5" w:rsidRPr="004C34EF">
        <w:rPr>
          <w:rFonts w:ascii="Times New Roman" w:hAnsi="Times New Roman" w:cs="Times New Roman"/>
          <w:sz w:val="24"/>
          <w:szCs w:val="24"/>
        </w:rPr>
        <w:t>s</w:t>
      </w:r>
      <w:r w:rsidRPr="004C34EF">
        <w:rPr>
          <w:rFonts w:ascii="Times New Roman" w:hAnsi="Times New Roman" w:cs="Times New Roman"/>
          <w:sz w:val="24"/>
          <w:szCs w:val="24"/>
        </w:rPr>
        <w:t xml:space="preserve"> allowed in</w:t>
      </w:r>
      <w:r w:rsidR="00952CB5" w:rsidRPr="004C34EF">
        <w:rPr>
          <w:rFonts w:ascii="Times New Roman" w:hAnsi="Times New Roman" w:cs="Times New Roman"/>
          <w:sz w:val="24"/>
          <w:szCs w:val="24"/>
        </w:rPr>
        <w:t xml:space="preserve"> CMC 3 or CMC 5 respectively</w:t>
      </w:r>
      <w:r w:rsidRPr="004C34EF">
        <w:rPr>
          <w:rFonts w:ascii="Times New Roman" w:hAnsi="Times New Roman" w:cs="Times New Roman"/>
          <w:sz w:val="24"/>
          <w:szCs w:val="24"/>
        </w:rPr>
        <w:t>.</w:t>
      </w:r>
      <w:r w:rsidRPr="00F87467">
        <w:rPr>
          <w:rFonts w:ascii="Times New Roman" w:hAnsi="Times New Roman" w:cs="Times New Roman"/>
          <w:sz w:val="24"/>
          <w:szCs w:val="24"/>
        </w:rPr>
        <w:t xml:space="preserve"> </w:t>
      </w:r>
    </w:p>
    <w:p w14:paraId="3549B0D0" w14:textId="77777777" w:rsidR="00E55648" w:rsidRPr="00F87467" w:rsidRDefault="00E55648" w:rsidP="00F87467">
      <w:pPr>
        <w:spacing w:before="60" w:after="60"/>
        <w:jc w:val="both"/>
        <w:rPr>
          <w:rFonts w:ascii="Times New Roman" w:hAnsi="Times New Roman" w:cs="Times New Roman"/>
          <w:sz w:val="24"/>
          <w:szCs w:val="24"/>
          <w:lang w:eastAsia="de-DE"/>
        </w:rPr>
      </w:pPr>
    </w:p>
    <w:p w14:paraId="4A1D1131" w14:textId="43DEFA26" w:rsidR="00286311" w:rsidRPr="00F87467" w:rsidRDefault="00286311" w:rsidP="00E717A1">
      <w:pPr>
        <w:pStyle w:val="Heading1"/>
        <w:numPr>
          <w:ilvl w:val="0"/>
          <w:numId w:val="3"/>
        </w:numPr>
        <w:tabs>
          <w:tab w:val="left" w:pos="426"/>
        </w:tabs>
        <w:spacing w:before="60" w:after="60"/>
        <w:ind w:left="0" w:firstLine="0"/>
        <w:jc w:val="both"/>
        <w:rPr>
          <w:rFonts w:ascii="Times New Roman" w:hAnsi="Times New Roman" w:cs="Times New Roman"/>
          <w:sz w:val="24"/>
          <w:szCs w:val="24"/>
        </w:rPr>
      </w:pPr>
      <w:bookmarkStart w:id="57" w:name="_Toc59185418"/>
      <w:r w:rsidRPr="00F87467">
        <w:rPr>
          <w:rFonts w:ascii="Times New Roman" w:hAnsi="Times New Roman" w:cs="Times New Roman"/>
          <w:sz w:val="24"/>
          <w:szCs w:val="24"/>
        </w:rPr>
        <w:t>Annex III – Labelling</w:t>
      </w:r>
      <w:r w:rsidR="00E55648" w:rsidRPr="00F87467">
        <w:rPr>
          <w:rFonts w:ascii="Times New Roman" w:hAnsi="Times New Roman" w:cs="Times New Roman"/>
          <w:sz w:val="24"/>
          <w:szCs w:val="24"/>
        </w:rPr>
        <w:t xml:space="preserve"> requirements</w:t>
      </w:r>
      <w:bookmarkEnd w:id="57"/>
    </w:p>
    <w:p w14:paraId="2A6D412D" w14:textId="0AFFC80C" w:rsidR="00286311" w:rsidRPr="00F87467" w:rsidRDefault="00286311" w:rsidP="00F87467">
      <w:pPr>
        <w:pStyle w:val="Heading2"/>
        <w:spacing w:before="60" w:after="60" w:line="276" w:lineRule="auto"/>
      </w:pPr>
      <w:r w:rsidRPr="00F87467">
        <w:t xml:space="preserve"> </w:t>
      </w:r>
      <w:bookmarkStart w:id="58" w:name="_Toc59185419"/>
      <w:r w:rsidRPr="00F87467">
        <w:t xml:space="preserve">Can </w:t>
      </w:r>
      <w:r w:rsidR="006D59DC" w:rsidRPr="00F87467">
        <w:t xml:space="preserve">a </w:t>
      </w:r>
      <w:r w:rsidRPr="00F87467">
        <w:t>manufacturer use green or any other coloured pictogram</w:t>
      </w:r>
      <w:r w:rsidR="006D59DC" w:rsidRPr="00F87467">
        <w:t xml:space="preserve"> to provide product </w:t>
      </w:r>
      <w:r w:rsidR="00AB4396" w:rsidRPr="00F87467">
        <w:t>information</w:t>
      </w:r>
      <w:r w:rsidRPr="00F87467">
        <w:t xml:space="preserve"> on the label of an EU fertilising product?</w:t>
      </w:r>
      <w:bookmarkEnd w:id="58"/>
      <w:r w:rsidRPr="00F87467">
        <w:t xml:space="preserve">  </w:t>
      </w:r>
    </w:p>
    <w:p w14:paraId="0FB6A8C7" w14:textId="2282CE4C" w:rsidR="00286311" w:rsidRPr="00F87467" w:rsidRDefault="00286311" w:rsidP="00F87467">
      <w:pPr>
        <w:pStyle w:val="CommentText"/>
        <w:spacing w:before="60" w:after="60" w:line="276" w:lineRule="auto"/>
        <w:rPr>
          <w:sz w:val="24"/>
          <w:szCs w:val="24"/>
        </w:rPr>
      </w:pPr>
      <w:r w:rsidRPr="00F87467">
        <w:rPr>
          <w:sz w:val="24"/>
          <w:szCs w:val="24"/>
        </w:rPr>
        <w:t xml:space="preserve">The </w:t>
      </w:r>
      <w:hyperlink r:id="rId107" w:history="1">
        <w:r w:rsidRPr="00D53265">
          <w:rPr>
            <w:rStyle w:val="Hyperlink"/>
            <w:sz w:val="24"/>
            <w:szCs w:val="24"/>
          </w:rPr>
          <w:t>FPR</w:t>
        </w:r>
      </w:hyperlink>
      <w:r w:rsidRPr="00F87467">
        <w:rPr>
          <w:sz w:val="24"/>
          <w:szCs w:val="24"/>
        </w:rPr>
        <w:t xml:space="preserve"> does not prohibit </w:t>
      </w:r>
      <w:r w:rsidR="006D59DC" w:rsidRPr="00F87467">
        <w:rPr>
          <w:sz w:val="24"/>
          <w:szCs w:val="24"/>
        </w:rPr>
        <w:t xml:space="preserve">the use of </w:t>
      </w:r>
      <w:r w:rsidR="00896043" w:rsidRPr="00F87467">
        <w:rPr>
          <w:sz w:val="24"/>
          <w:szCs w:val="24"/>
        </w:rPr>
        <w:t xml:space="preserve">green or any other </w:t>
      </w:r>
      <w:r w:rsidRPr="00F87467">
        <w:rPr>
          <w:sz w:val="24"/>
          <w:szCs w:val="24"/>
        </w:rPr>
        <w:t xml:space="preserve">colour </w:t>
      </w:r>
      <w:r w:rsidR="006D59DC" w:rsidRPr="00F87467">
        <w:rPr>
          <w:sz w:val="24"/>
          <w:szCs w:val="24"/>
        </w:rPr>
        <w:t>as</w:t>
      </w:r>
      <w:r w:rsidRPr="00F87467">
        <w:rPr>
          <w:sz w:val="24"/>
          <w:szCs w:val="24"/>
        </w:rPr>
        <w:t xml:space="preserve"> labelling elements. However, </w:t>
      </w:r>
      <w:r w:rsidR="00896043" w:rsidRPr="00F87467">
        <w:rPr>
          <w:sz w:val="24"/>
          <w:szCs w:val="24"/>
        </w:rPr>
        <w:t xml:space="preserve">a </w:t>
      </w:r>
      <w:r w:rsidR="006D59DC" w:rsidRPr="00F87467">
        <w:rPr>
          <w:sz w:val="24"/>
          <w:szCs w:val="24"/>
        </w:rPr>
        <w:t xml:space="preserve">coloured </w:t>
      </w:r>
      <w:r w:rsidR="00802813" w:rsidRPr="00F87467">
        <w:rPr>
          <w:sz w:val="24"/>
          <w:szCs w:val="24"/>
        </w:rPr>
        <w:t xml:space="preserve">pictogram or statement should have </w:t>
      </w:r>
      <w:r w:rsidR="004828FE" w:rsidRPr="00F87467">
        <w:rPr>
          <w:sz w:val="24"/>
          <w:szCs w:val="24"/>
        </w:rPr>
        <w:t>a clear conte</w:t>
      </w:r>
      <w:r w:rsidR="00AA564E" w:rsidRPr="00F87467">
        <w:rPr>
          <w:sz w:val="24"/>
          <w:szCs w:val="24"/>
        </w:rPr>
        <w:t>n</w:t>
      </w:r>
      <w:r w:rsidR="004828FE" w:rsidRPr="00F87467">
        <w:rPr>
          <w:sz w:val="24"/>
          <w:szCs w:val="24"/>
        </w:rPr>
        <w:t xml:space="preserve">t that should not lead to </w:t>
      </w:r>
      <w:r w:rsidRPr="00F87467">
        <w:rPr>
          <w:sz w:val="24"/>
          <w:szCs w:val="24"/>
        </w:rPr>
        <w:t xml:space="preserve">unsubstantiated </w:t>
      </w:r>
      <w:r w:rsidR="004828FE" w:rsidRPr="00F87467">
        <w:rPr>
          <w:sz w:val="24"/>
          <w:szCs w:val="24"/>
        </w:rPr>
        <w:t xml:space="preserve">product </w:t>
      </w:r>
      <w:r w:rsidRPr="00F87467">
        <w:rPr>
          <w:sz w:val="24"/>
          <w:szCs w:val="24"/>
        </w:rPr>
        <w:t>claims</w:t>
      </w:r>
      <w:r w:rsidR="004828FE" w:rsidRPr="00F87467">
        <w:rPr>
          <w:sz w:val="24"/>
          <w:szCs w:val="24"/>
        </w:rPr>
        <w:t xml:space="preserve"> or environmental benefits</w:t>
      </w:r>
      <w:r w:rsidR="00802813" w:rsidRPr="00F87467">
        <w:rPr>
          <w:sz w:val="24"/>
          <w:szCs w:val="24"/>
        </w:rPr>
        <w:t xml:space="preserve">. </w:t>
      </w:r>
      <w:r w:rsidR="004828FE" w:rsidRPr="00F87467">
        <w:rPr>
          <w:sz w:val="24"/>
          <w:szCs w:val="24"/>
        </w:rPr>
        <w:t>Any unjustified or unverifiable claim could be misleading and thus this practi</w:t>
      </w:r>
      <w:r w:rsidR="00AA564E" w:rsidRPr="00F87467">
        <w:rPr>
          <w:sz w:val="24"/>
          <w:szCs w:val="24"/>
        </w:rPr>
        <w:t>c</w:t>
      </w:r>
      <w:r w:rsidR="004828FE" w:rsidRPr="00F87467">
        <w:rPr>
          <w:sz w:val="24"/>
          <w:szCs w:val="24"/>
        </w:rPr>
        <w:t>e is</w:t>
      </w:r>
      <w:r w:rsidRPr="00F87467">
        <w:rPr>
          <w:sz w:val="24"/>
          <w:szCs w:val="24"/>
        </w:rPr>
        <w:t xml:space="preserve"> incompatible with the </w:t>
      </w:r>
      <w:hyperlink r:id="rId108" w:history="1">
        <w:r w:rsidRPr="00D53265">
          <w:rPr>
            <w:rStyle w:val="Hyperlink"/>
            <w:sz w:val="24"/>
            <w:szCs w:val="24"/>
          </w:rPr>
          <w:t>FPR</w:t>
        </w:r>
      </w:hyperlink>
      <w:r w:rsidRPr="00F87467">
        <w:rPr>
          <w:sz w:val="24"/>
          <w:szCs w:val="24"/>
        </w:rPr>
        <w:t xml:space="preserve">. </w:t>
      </w:r>
    </w:p>
    <w:p w14:paraId="15F24593" w14:textId="77777777" w:rsidR="001830FE" w:rsidRPr="00F87467" w:rsidRDefault="001830FE" w:rsidP="00F87467">
      <w:pPr>
        <w:pStyle w:val="CommentText"/>
        <w:spacing w:before="60" w:after="60" w:line="276" w:lineRule="auto"/>
        <w:rPr>
          <w:sz w:val="24"/>
          <w:szCs w:val="24"/>
        </w:rPr>
      </w:pPr>
    </w:p>
    <w:p w14:paraId="061A87AC" w14:textId="43AAB958" w:rsidR="00554FEA" w:rsidRPr="00F87467" w:rsidRDefault="001830FE" w:rsidP="00F87467">
      <w:pPr>
        <w:pStyle w:val="Heading2"/>
        <w:spacing w:before="60" w:after="60" w:line="276" w:lineRule="auto"/>
      </w:pPr>
      <w:bookmarkStart w:id="59" w:name="_Toc59185420"/>
      <w:r w:rsidRPr="00F87467">
        <w:t xml:space="preserve">How </w:t>
      </w:r>
      <w:r w:rsidR="00576CEE" w:rsidRPr="00F87467">
        <w:t xml:space="preserve">should </w:t>
      </w:r>
      <w:r w:rsidRPr="00F87467">
        <w:t xml:space="preserve">a manufacturer label the nutrients content of a </w:t>
      </w:r>
      <w:r w:rsidR="00AB4396" w:rsidRPr="00F87467">
        <w:t>fertilising</w:t>
      </w:r>
      <w:r w:rsidRPr="00F87467">
        <w:t xml:space="preserve"> product blend </w:t>
      </w:r>
      <w:r w:rsidR="00AA564E" w:rsidRPr="00F87467">
        <w:t xml:space="preserve">if the content of </w:t>
      </w:r>
      <w:r w:rsidR="00576CEE" w:rsidRPr="00F87467">
        <w:t xml:space="preserve">some </w:t>
      </w:r>
      <w:r w:rsidR="00AA564E" w:rsidRPr="00F87467">
        <w:t xml:space="preserve">forms of the nutrients vary </w:t>
      </w:r>
      <w:r w:rsidR="00576CEE" w:rsidRPr="00F87467">
        <w:t>over</w:t>
      </w:r>
      <w:r w:rsidR="00AA564E" w:rsidRPr="00F87467">
        <w:t xml:space="preserve"> time</w:t>
      </w:r>
      <w:r w:rsidR="00576CEE" w:rsidRPr="00F87467">
        <w:t>, like in the case of blending a growing medium with an inorganic fertiliser</w:t>
      </w:r>
      <w:r w:rsidRPr="00F87467">
        <w:t>?</w:t>
      </w:r>
      <w:bookmarkEnd w:id="59"/>
    </w:p>
    <w:p w14:paraId="5099D932" w14:textId="3288F478" w:rsidR="00576CEE" w:rsidRPr="00F87467" w:rsidRDefault="00565892" w:rsidP="00F87467">
      <w:pPr>
        <w:tabs>
          <w:tab w:val="left" w:pos="426"/>
          <w:tab w:val="left" w:pos="567"/>
        </w:tabs>
        <w:spacing w:before="60" w:after="60"/>
        <w:jc w:val="both"/>
        <w:rPr>
          <w:rFonts w:ascii="Times New Roman" w:eastAsiaTheme="minorEastAsia" w:hAnsi="Times New Roman" w:cs="Times New Roman"/>
          <w:sz w:val="24"/>
          <w:szCs w:val="24"/>
          <w:lang w:eastAsia="en-GB"/>
        </w:rPr>
      </w:pPr>
      <w:r w:rsidRPr="00F87467">
        <w:rPr>
          <w:rFonts w:ascii="Times New Roman" w:eastAsiaTheme="minorEastAsia" w:hAnsi="Times New Roman" w:cs="Times New Roman"/>
          <w:sz w:val="24"/>
          <w:szCs w:val="24"/>
          <w:lang w:eastAsia="en-GB"/>
        </w:rPr>
        <w:t xml:space="preserve">When labelling a fertilising product blend the manufacturer has to </w:t>
      </w:r>
      <w:r w:rsidR="00D45392" w:rsidRPr="00F87467">
        <w:rPr>
          <w:rFonts w:ascii="Times New Roman" w:eastAsiaTheme="minorEastAsia" w:hAnsi="Times New Roman" w:cs="Times New Roman"/>
          <w:sz w:val="24"/>
          <w:szCs w:val="24"/>
          <w:lang w:eastAsia="en-GB"/>
        </w:rPr>
        <w:t>include</w:t>
      </w:r>
      <w:r w:rsidRPr="00F87467">
        <w:rPr>
          <w:rFonts w:ascii="Times New Roman" w:eastAsiaTheme="minorEastAsia" w:hAnsi="Times New Roman" w:cs="Times New Roman"/>
          <w:sz w:val="24"/>
          <w:szCs w:val="24"/>
          <w:lang w:eastAsia="en-GB"/>
        </w:rPr>
        <w:t xml:space="preserve"> all l</w:t>
      </w:r>
      <w:r w:rsidR="00F406EB" w:rsidRPr="00F87467">
        <w:rPr>
          <w:rFonts w:ascii="Times New Roman" w:eastAsiaTheme="minorEastAsia" w:hAnsi="Times New Roman" w:cs="Times New Roman"/>
          <w:sz w:val="24"/>
          <w:szCs w:val="24"/>
          <w:lang w:eastAsia="en-GB"/>
        </w:rPr>
        <w:t>a</w:t>
      </w:r>
      <w:r w:rsidRPr="00F87467">
        <w:rPr>
          <w:rFonts w:ascii="Times New Roman" w:eastAsiaTheme="minorEastAsia" w:hAnsi="Times New Roman" w:cs="Times New Roman"/>
          <w:sz w:val="24"/>
          <w:szCs w:val="24"/>
          <w:lang w:eastAsia="en-GB"/>
        </w:rPr>
        <w:t xml:space="preserve">belling </w:t>
      </w:r>
      <w:r w:rsidR="00AB4396" w:rsidRPr="00F87467">
        <w:rPr>
          <w:rFonts w:ascii="Times New Roman" w:eastAsiaTheme="minorEastAsia" w:hAnsi="Times New Roman" w:cs="Times New Roman"/>
          <w:sz w:val="24"/>
          <w:szCs w:val="24"/>
          <w:lang w:eastAsia="en-GB"/>
        </w:rPr>
        <w:t>requirements</w:t>
      </w:r>
      <w:r w:rsidRPr="00F87467">
        <w:rPr>
          <w:rFonts w:ascii="Times New Roman" w:eastAsiaTheme="minorEastAsia" w:hAnsi="Times New Roman" w:cs="Times New Roman"/>
          <w:sz w:val="24"/>
          <w:szCs w:val="24"/>
          <w:lang w:eastAsia="en-GB"/>
        </w:rPr>
        <w:t xml:space="preserve"> that are applicable to the component</w:t>
      </w:r>
      <w:r w:rsidR="00D45392" w:rsidRPr="00F87467">
        <w:rPr>
          <w:rFonts w:ascii="Times New Roman" w:eastAsiaTheme="minorEastAsia" w:hAnsi="Times New Roman" w:cs="Times New Roman"/>
          <w:sz w:val="24"/>
          <w:szCs w:val="24"/>
          <w:lang w:eastAsia="en-GB"/>
        </w:rPr>
        <w:t xml:space="preserve"> EU fertilising products</w:t>
      </w:r>
      <w:r w:rsidRPr="00F87467">
        <w:rPr>
          <w:rFonts w:ascii="Times New Roman" w:eastAsiaTheme="minorEastAsia" w:hAnsi="Times New Roman" w:cs="Times New Roman"/>
          <w:sz w:val="24"/>
          <w:szCs w:val="24"/>
          <w:lang w:eastAsia="en-GB"/>
        </w:rPr>
        <w:t xml:space="preserve">. </w:t>
      </w:r>
    </w:p>
    <w:p w14:paraId="1FC14645" w14:textId="2F6FA8FF" w:rsidR="00576CEE" w:rsidRPr="00F87467" w:rsidRDefault="00576CEE" w:rsidP="00F87467">
      <w:pPr>
        <w:tabs>
          <w:tab w:val="left" w:pos="426"/>
          <w:tab w:val="left" w:pos="567"/>
        </w:tabs>
        <w:spacing w:before="60" w:after="60"/>
        <w:jc w:val="both"/>
        <w:rPr>
          <w:rFonts w:ascii="Times New Roman" w:eastAsiaTheme="minorEastAsia" w:hAnsi="Times New Roman" w:cs="Times New Roman"/>
          <w:sz w:val="24"/>
          <w:szCs w:val="24"/>
          <w:lang w:eastAsia="en-GB"/>
        </w:rPr>
      </w:pPr>
      <w:r w:rsidRPr="00F87467">
        <w:rPr>
          <w:rFonts w:ascii="Times New Roman" w:eastAsiaTheme="minorEastAsia" w:hAnsi="Times New Roman" w:cs="Times New Roman"/>
          <w:sz w:val="24"/>
          <w:szCs w:val="24"/>
          <w:lang w:eastAsia="en-GB"/>
        </w:rPr>
        <w:t xml:space="preserve">In some cases, there might be fluctuation of various forms of nutrients in a relative short period of time. </w:t>
      </w:r>
    </w:p>
    <w:p w14:paraId="201588CA" w14:textId="5AF6777B" w:rsidR="00007119" w:rsidRPr="00F87467" w:rsidRDefault="00080D96" w:rsidP="00F87467">
      <w:pPr>
        <w:tabs>
          <w:tab w:val="left" w:pos="426"/>
          <w:tab w:val="left" w:pos="567"/>
        </w:tabs>
        <w:spacing w:before="60" w:after="60"/>
        <w:jc w:val="both"/>
        <w:rPr>
          <w:rFonts w:ascii="Times New Roman" w:eastAsiaTheme="minorEastAsia" w:hAnsi="Times New Roman" w:cs="Times New Roman"/>
          <w:sz w:val="24"/>
          <w:szCs w:val="24"/>
          <w:lang w:eastAsia="en-GB"/>
        </w:rPr>
      </w:pPr>
      <w:r w:rsidRPr="00F87467">
        <w:rPr>
          <w:rFonts w:ascii="Times New Roman" w:eastAsiaTheme="minorEastAsia" w:hAnsi="Times New Roman" w:cs="Times New Roman"/>
          <w:sz w:val="24"/>
          <w:szCs w:val="24"/>
          <w:lang w:eastAsia="en-GB"/>
        </w:rPr>
        <w:t>This may happen for instance i</w:t>
      </w:r>
      <w:r w:rsidR="00565892" w:rsidRPr="00F87467">
        <w:rPr>
          <w:rFonts w:ascii="Times New Roman" w:eastAsiaTheme="minorEastAsia" w:hAnsi="Times New Roman" w:cs="Times New Roman"/>
          <w:sz w:val="24"/>
          <w:szCs w:val="24"/>
          <w:lang w:eastAsia="en-GB"/>
        </w:rPr>
        <w:t>n case</w:t>
      </w:r>
      <w:r w:rsidR="00576CEE" w:rsidRPr="00F87467">
        <w:rPr>
          <w:rFonts w:ascii="Times New Roman" w:eastAsiaTheme="minorEastAsia" w:hAnsi="Times New Roman" w:cs="Times New Roman"/>
          <w:sz w:val="24"/>
          <w:szCs w:val="24"/>
          <w:lang w:eastAsia="en-GB"/>
        </w:rPr>
        <w:t xml:space="preserve"> of a blend </w:t>
      </w:r>
      <w:r w:rsidR="00984317">
        <w:rPr>
          <w:rFonts w:ascii="Times New Roman" w:eastAsiaTheme="minorEastAsia" w:hAnsi="Times New Roman" w:cs="Times New Roman"/>
          <w:sz w:val="24"/>
          <w:szCs w:val="24"/>
          <w:lang w:eastAsia="en-GB"/>
        </w:rPr>
        <w:t>composed</w:t>
      </w:r>
      <w:r w:rsidR="00984317" w:rsidRPr="00F87467">
        <w:rPr>
          <w:rFonts w:ascii="Times New Roman" w:eastAsiaTheme="minorEastAsia" w:hAnsi="Times New Roman" w:cs="Times New Roman"/>
          <w:sz w:val="24"/>
          <w:szCs w:val="24"/>
          <w:lang w:eastAsia="en-GB"/>
        </w:rPr>
        <w:t xml:space="preserve"> </w:t>
      </w:r>
      <w:r w:rsidR="00576CEE" w:rsidRPr="00F87467">
        <w:rPr>
          <w:rFonts w:ascii="Times New Roman" w:eastAsiaTheme="minorEastAsia" w:hAnsi="Times New Roman" w:cs="Times New Roman"/>
          <w:sz w:val="24"/>
          <w:szCs w:val="24"/>
          <w:lang w:eastAsia="en-GB"/>
        </w:rPr>
        <w:t>of a g</w:t>
      </w:r>
      <w:r w:rsidR="003C4DBB">
        <w:rPr>
          <w:rFonts w:ascii="Times New Roman" w:eastAsiaTheme="minorEastAsia" w:hAnsi="Times New Roman" w:cs="Times New Roman"/>
          <w:sz w:val="24"/>
          <w:szCs w:val="24"/>
          <w:lang w:eastAsia="en-GB"/>
        </w:rPr>
        <w:t xml:space="preserve">rowing medium and </w:t>
      </w:r>
      <w:r w:rsidR="00576CEE" w:rsidRPr="00F87467">
        <w:rPr>
          <w:rFonts w:ascii="Times New Roman" w:eastAsiaTheme="minorEastAsia" w:hAnsi="Times New Roman" w:cs="Times New Roman"/>
          <w:sz w:val="24"/>
          <w:szCs w:val="24"/>
          <w:lang w:eastAsia="en-GB"/>
        </w:rPr>
        <w:t>organic fertiliser</w:t>
      </w:r>
      <w:r w:rsidRPr="00F87467">
        <w:rPr>
          <w:rFonts w:ascii="Times New Roman" w:eastAsiaTheme="minorEastAsia" w:hAnsi="Times New Roman" w:cs="Times New Roman"/>
          <w:sz w:val="24"/>
          <w:szCs w:val="24"/>
          <w:lang w:eastAsia="en-GB"/>
        </w:rPr>
        <w:t>.</w:t>
      </w:r>
      <w:r w:rsidR="00576CEE" w:rsidRPr="00F87467">
        <w:rPr>
          <w:rFonts w:ascii="Times New Roman" w:eastAsiaTheme="minorEastAsia" w:hAnsi="Times New Roman" w:cs="Times New Roman"/>
          <w:sz w:val="24"/>
          <w:szCs w:val="24"/>
          <w:lang w:eastAsia="en-GB"/>
        </w:rPr>
        <w:t xml:space="preserve"> </w:t>
      </w:r>
      <w:r w:rsidRPr="00F87467">
        <w:rPr>
          <w:rFonts w:ascii="Times New Roman" w:eastAsiaTheme="minorEastAsia" w:hAnsi="Times New Roman" w:cs="Times New Roman"/>
          <w:sz w:val="24"/>
          <w:szCs w:val="24"/>
          <w:lang w:eastAsia="en-GB"/>
        </w:rPr>
        <w:t>Due to the characteristics of this product, the forms of the nutrients therein evolve like it would happen in nature. T</w:t>
      </w:r>
      <w:r w:rsidR="00565892" w:rsidRPr="00F87467">
        <w:rPr>
          <w:rFonts w:ascii="Times New Roman" w:eastAsiaTheme="minorEastAsia" w:hAnsi="Times New Roman" w:cs="Times New Roman"/>
          <w:sz w:val="24"/>
          <w:szCs w:val="24"/>
          <w:lang w:eastAsia="en-GB"/>
        </w:rPr>
        <w:t xml:space="preserve">he manufacturer should rely on the conformity assessments that were already finalised for the two components (the growing medium and the inorganic fertiliser) and put all relevant information on the label of </w:t>
      </w:r>
      <w:r w:rsidR="00AA564E" w:rsidRPr="00F87467">
        <w:rPr>
          <w:rFonts w:ascii="Times New Roman" w:eastAsiaTheme="minorEastAsia" w:hAnsi="Times New Roman" w:cs="Times New Roman"/>
          <w:sz w:val="24"/>
          <w:szCs w:val="24"/>
          <w:lang w:eastAsia="en-GB"/>
        </w:rPr>
        <w:t>the</w:t>
      </w:r>
      <w:r w:rsidR="00565892" w:rsidRPr="00F87467">
        <w:rPr>
          <w:rFonts w:ascii="Times New Roman" w:eastAsiaTheme="minorEastAsia" w:hAnsi="Times New Roman" w:cs="Times New Roman"/>
          <w:sz w:val="24"/>
          <w:szCs w:val="24"/>
          <w:lang w:eastAsia="en-GB"/>
        </w:rPr>
        <w:t xml:space="preserve"> blend. Consequently, the manufacturer should declare, for example, information on nutrients content, based on the </w:t>
      </w:r>
      <w:r w:rsidR="00AB4396" w:rsidRPr="00F87467">
        <w:rPr>
          <w:rFonts w:ascii="Times New Roman" w:eastAsiaTheme="minorEastAsia" w:hAnsi="Times New Roman" w:cs="Times New Roman"/>
          <w:sz w:val="24"/>
          <w:szCs w:val="24"/>
          <w:lang w:eastAsia="en-GB"/>
        </w:rPr>
        <w:t>assessment</w:t>
      </w:r>
      <w:r w:rsidR="00565892" w:rsidRPr="00F87467">
        <w:rPr>
          <w:rFonts w:ascii="Times New Roman" w:eastAsiaTheme="minorEastAsia" w:hAnsi="Times New Roman" w:cs="Times New Roman"/>
          <w:sz w:val="24"/>
          <w:szCs w:val="24"/>
          <w:lang w:eastAsia="en-GB"/>
        </w:rPr>
        <w:t xml:space="preserve"> of the growing medium and information on nutrient content, base</w:t>
      </w:r>
      <w:r w:rsidR="00576CEE" w:rsidRPr="00F87467">
        <w:rPr>
          <w:rFonts w:ascii="Times New Roman" w:eastAsiaTheme="minorEastAsia" w:hAnsi="Times New Roman" w:cs="Times New Roman"/>
          <w:sz w:val="24"/>
          <w:szCs w:val="24"/>
          <w:lang w:eastAsia="en-GB"/>
        </w:rPr>
        <w:t>d</w:t>
      </w:r>
      <w:r w:rsidR="00565892" w:rsidRPr="00F87467">
        <w:rPr>
          <w:rFonts w:ascii="Times New Roman" w:eastAsiaTheme="minorEastAsia" w:hAnsi="Times New Roman" w:cs="Times New Roman"/>
          <w:sz w:val="24"/>
          <w:szCs w:val="24"/>
          <w:lang w:eastAsia="en-GB"/>
        </w:rPr>
        <w:t xml:space="preserve"> on the assessment of the inorganic fertiliser. </w:t>
      </w:r>
      <w:r w:rsidRPr="00F87467">
        <w:rPr>
          <w:rFonts w:ascii="Times New Roman" w:eastAsiaTheme="minorEastAsia" w:hAnsi="Times New Roman" w:cs="Times New Roman"/>
          <w:sz w:val="24"/>
          <w:szCs w:val="24"/>
          <w:lang w:eastAsia="en-GB"/>
        </w:rPr>
        <w:t>Any</w:t>
      </w:r>
      <w:r w:rsidR="00565892" w:rsidRPr="00F87467">
        <w:rPr>
          <w:rFonts w:ascii="Times New Roman" w:eastAsiaTheme="minorEastAsia" w:hAnsi="Times New Roman" w:cs="Times New Roman"/>
          <w:sz w:val="24"/>
          <w:szCs w:val="24"/>
          <w:lang w:eastAsia="en-GB"/>
        </w:rPr>
        <w:t xml:space="preserve"> fluctuations in the final concentration of specific</w:t>
      </w:r>
      <w:r w:rsidR="00576CEE" w:rsidRPr="00F87467">
        <w:rPr>
          <w:rFonts w:ascii="Times New Roman" w:eastAsiaTheme="minorEastAsia" w:hAnsi="Times New Roman" w:cs="Times New Roman"/>
          <w:sz w:val="24"/>
          <w:szCs w:val="24"/>
          <w:lang w:eastAsia="en-GB"/>
        </w:rPr>
        <w:t xml:space="preserve"> forms of</w:t>
      </w:r>
      <w:r w:rsidR="00565892" w:rsidRPr="00F87467">
        <w:rPr>
          <w:rFonts w:ascii="Times New Roman" w:eastAsiaTheme="minorEastAsia" w:hAnsi="Times New Roman" w:cs="Times New Roman"/>
          <w:sz w:val="24"/>
          <w:szCs w:val="24"/>
          <w:lang w:eastAsia="en-GB"/>
        </w:rPr>
        <w:t xml:space="preserve"> nutrients over time </w:t>
      </w:r>
      <w:r w:rsidRPr="00F87467">
        <w:rPr>
          <w:rFonts w:ascii="Times New Roman" w:eastAsiaTheme="minorEastAsia" w:hAnsi="Times New Roman" w:cs="Times New Roman"/>
          <w:sz w:val="24"/>
          <w:szCs w:val="24"/>
          <w:lang w:eastAsia="en-GB"/>
        </w:rPr>
        <w:t xml:space="preserve">are </w:t>
      </w:r>
      <w:r w:rsidR="00565892" w:rsidRPr="00F87467">
        <w:rPr>
          <w:rFonts w:ascii="Times New Roman" w:eastAsiaTheme="minorEastAsia" w:hAnsi="Times New Roman" w:cs="Times New Roman"/>
          <w:sz w:val="24"/>
          <w:szCs w:val="24"/>
          <w:lang w:eastAsia="en-GB"/>
        </w:rPr>
        <w:t>an expected outcome.</w:t>
      </w:r>
      <w:r w:rsidRPr="00F87467">
        <w:rPr>
          <w:rFonts w:ascii="Times New Roman" w:eastAsiaTheme="minorEastAsia" w:hAnsi="Times New Roman" w:cs="Times New Roman"/>
          <w:sz w:val="24"/>
          <w:szCs w:val="24"/>
          <w:lang w:eastAsia="en-GB"/>
        </w:rPr>
        <w:t xml:space="preserve"> As the content of the total nutrients remains unchanged, the variations of forms should not raise questions of compliance of the said product with the labelling requirements and the tolerances in the </w:t>
      </w:r>
      <w:hyperlink r:id="rId109" w:history="1">
        <w:r w:rsidRPr="00D53265">
          <w:rPr>
            <w:rStyle w:val="Hyperlink"/>
            <w:rFonts w:ascii="Times New Roman" w:eastAsiaTheme="minorEastAsia" w:hAnsi="Times New Roman" w:cs="Times New Roman"/>
            <w:sz w:val="24"/>
            <w:szCs w:val="24"/>
            <w:lang w:eastAsia="en-GB"/>
          </w:rPr>
          <w:t>FPR</w:t>
        </w:r>
      </w:hyperlink>
      <w:r w:rsidRPr="00F87467">
        <w:rPr>
          <w:rFonts w:ascii="Times New Roman" w:eastAsiaTheme="minorEastAsia" w:hAnsi="Times New Roman" w:cs="Times New Roman"/>
          <w:sz w:val="24"/>
          <w:szCs w:val="24"/>
          <w:lang w:eastAsia="en-GB"/>
        </w:rPr>
        <w:t xml:space="preserve">. </w:t>
      </w:r>
      <w:r w:rsidR="00565892" w:rsidRPr="00F87467">
        <w:rPr>
          <w:rFonts w:ascii="Times New Roman" w:eastAsiaTheme="minorEastAsia" w:hAnsi="Times New Roman" w:cs="Times New Roman"/>
          <w:sz w:val="24"/>
          <w:szCs w:val="24"/>
          <w:lang w:eastAsia="en-GB"/>
        </w:rPr>
        <w:t xml:space="preserve"> </w:t>
      </w:r>
    </w:p>
    <w:p w14:paraId="28DF39F8" w14:textId="3B0A2795" w:rsidR="00286311" w:rsidRPr="00F87467" w:rsidRDefault="00286311" w:rsidP="00F87467">
      <w:pPr>
        <w:tabs>
          <w:tab w:val="left" w:pos="426"/>
          <w:tab w:val="left" w:pos="567"/>
        </w:tabs>
        <w:spacing w:before="60" w:after="60"/>
        <w:jc w:val="both"/>
        <w:rPr>
          <w:rFonts w:ascii="Times New Roman" w:hAnsi="Times New Roman" w:cs="Times New Roman"/>
          <w:sz w:val="24"/>
          <w:szCs w:val="24"/>
        </w:rPr>
      </w:pPr>
    </w:p>
    <w:p w14:paraId="186CB5D8" w14:textId="596BFF0D" w:rsidR="00D76959" w:rsidRPr="00F87467" w:rsidRDefault="00D76959" w:rsidP="00F87467">
      <w:pPr>
        <w:pStyle w:val="Heading2"/>
        <w:spacing w:before="60" w:after="60" w:line="276" w:lineRule="auto"/>
      </w:pPr>
      <w:r w:rsidRPr="00F87467">
        <w:t xml:space="preserve"> </w:t>
      </w:r>
      <w:bookmarkStart w:id="60" w:name="_Toc59185421"/>
      <w:r w:rsidRPr="00F87467">
        <w:t xml:space="preserve">How </w:t>
      </w:r>
      <w:r w:rsidR="00183277" w:rsidRPr="00F87467">
        <w:t xml:space="preserve">should </w:t>
      </w:r>
      <w:r w:rsidRPr="00F87467">
        <w:t>users be informed about the presence of materials obtained from manure in organic or organo-mineral fertilisers?</w:t>
      </w:r>
      <w:bookmarkEnd w:id="60"/>
    </w:p>
    <w:p w14:paraId="1D88DA97" w14:textId="14C3EDBA" w:rsidR="00D76959" w:rsidRPr="00F87467" w:rsidRDefault="00183277" w:rsidP="00F87467">
      <w:pPr>
        <w:spacing w:before="60" w:after="60"/>
        <w:jc w:val="both"/>
        <w:rPr>
          <w:rFonts w:ascii="Times New Roman" w:eastAsiaTheme="minorEastAsia" w:hAnsi="Times New Roman" w:cs="Times New Roman"/>
          <w:sz w:val="24"/>
          <w:szCs w:val="24"/>
          <w:lang w:eastAsia="en-GB"/>
        </w:rPr>
      </w:pPr>
      <w:r w:rsidRPr="00F87467">
        <w:rPr>
          <w:rFonts w:ascii="Times New Roman" w:eastAsiaTheme="minorEastAsia" w:hAnsi="Times New Roman" w:cs="Times New Roman"/>
          <w:sz w:val="24"/>
          <w:szCs w:val="24"/>
          <w:lang w:eastAsia="en-GB"/>
        </w:rPr>
        <w:t xml:space="preserve">The </w:t>
      </w:r>
      <w:hyperlink r:id="rId110" w:history="1">
        <w:r w:rsidR="00D76959" w:rsidRPr="00D53265">
          <w:rPr>
            <w:rStyle w:val="Hyperlink"/>
            <w:rFonts w:ascii="Times New Roman" w:eastAsiaTheme="minorEastAsia" w:hAnsi="Times New Roman" w:cs="Times New Roman"/>
            <w:sz w:val="24"/>
            <w:szCs w:val="24"/>
            <w:lang w:eastAsia="en-GB"/>
          </w:rPr>
          <w:t>FPR</w:t>
        </w:r>
      </w:hyperlink>
      <w:r w:rsidR="00D76959" w:rsidRPr="00F87467">
        <w:rPr>
          <w:rFonts w:ascii="Times New Roman" w:eastAsiaTheme="minorEastAsia" w:hAnsi="Times New Roman" w:cs="Times New Roman"/>
          <w:sz w:val="24"/>
          <w:szCs w:val="24"/>
          <w:lang w:eastAsia="en-GB"/>
        </w:rPr>
        <w:t xml:space="preserve"> require</w:t>
      </w:r>
      <w:r w:rsidRPr="00F87467">
        <w:rPr>
          <w:rFonts w:ascii="Times New Roman" w:eastAsiaTheme="minorEastAsia" w:hAnsi="Times New Roman" w:cs="Times New Roman"/>
          <w:sz w:val="24"/>
          <w:szCs w:val="24"/>
          <w:lang w:eastAsia="en-GB"/>
        </w:rPr>
        <w:t>s</w:t>
      </w:r>
      <w:r w:rsidR="00D76959" w:rsidRPr="00F87467">
        <w:rPr>
          <w:rFonts w:ascii="Times New Roman" w:eastAsiaTheme="minorEastAsia" w:hAnsi="Times New Roman" w:cs="Times New Roman"/>
          <w:sz w:val="24"/>
          <w:szCs w:val="24"/>
          <w:lang w:eastAsia="en-GB"/>
        </w:rPr>
        <w:t xml:space="preserve"> to provide any relevant information on measures recommended to manage risks to human, animal or plant health, to safety or to the environment</w:t>
      </w:r>
      <w:r w:rsidR="009A56D7">
        <w:rPr>
          <w:rFonts w:ascii="Times New Roman" w:eastAsiaTheme="minorEastAsia" w:hAnsi="Times New Roman" w:cs="Times New Roman"/>
          <w:sz w:val="24"/>
          <w:szCs w:val="24"/>
          <w:lang w:eastAsia="en-GB"/>
        </w:rPr>
        <w:t xml:space="preserve"> (point 1 (g) of part 1 of Annex III of the FPR)</w:t>
      </w:r>
      <w:r w:rsidR="00D76959" w:rsidRPr="00F87467">
        <w:rPr>
          <w:rFonts w:ascii="Times New Roman" w:eastAsiaTheme="minorEastAsia" w:hAnsi="Times New Roman" w:cs="Times New Roman"/>
          <w:sz w:val="24"/>
          <w:szCs w:val="24"/>
          <w:lang w:eastAsia="en-GB"/>
        </w:rPr>
        <w:t xml:space="preserve">. </w:t>
      </w:r>
    </w:p>
    <w:p w14:paraId="26369266" w14:textId="587A3AB8" w:rsidR="00D76959" w:rsidRPr="00F87467" w:rsidRDefault="00D76959" w:rsidP="00F87467">
      <w:pPr>
        <w:spacing w:before="60" w:after="60"/>
        <w:jc w:val="both"/>
        <w:rPr>
          <w:rFonts w:ascii="Times New Roman" w:eastAsiaTheme="minorEastAsia" w:hAnsi="Times New Roman" w:cs="Times New Roman"/>
          <w:sz w:val="24"/>
          <w:szCs w:val="24"/>
          <w:lang w:eastAsia="en-GB"/>
        </w:rPr>
      </w:pPr>
      <w:r w:rsidRPr="00F87467">
        <w:rPr>
          <w:rFonts w:ascii="Times New Roman" w:eastAsiaTheme="minorEastAsia" w:hAnsi="Times New Roman" w:cs="Times New Roman"/>
          <w:sz w:val="24"/>
          <w:szCs w:val="24"/>
          <w:lang w:eastAsia="en-GB"/>
        </w:rPr>
        <w:lastRenderedPageBreak/>
        <w:t xml:space="preserve">Directive 91/676/EEC, concerning protection of waters against pollution caused by nitrates from agricultural sources (Nitrates Directive) sets a maximum amount of nitrogen from livestock manure, including processed </w:t>
      </w:r>
      <w:r w:rsidR="00AB4396" w:rsidRPr="00F87467">
        <w:rPr>
          <w:rFonts w:ascii="Times New Roman" w:eastAsiaTheme="minorEastAsia" w:hAnsi="Times New Roman" w:cs="Times New Roman"/>
          <w:sz w:val="24"/>
          <w:szCs w:val="24"/>
          <w:lang w:eastAsia="en-GB"/>
        </w:rPr>
        <w:t>manure that</w:t>
      </w:r>
      <w:r w:rsidRPr="00F87467">
        <w:rPr>
          <w:rFonts w:ascii="Times New Roman" w:eastAsiaTheme="minorEastAsia" w:hAnsi="Times New Roman" w:cs="Times New Roman"/>
          <w:sz w:val="24"/>
          <w:szCs w:val="24"/>
          <w:lang w:eastAsia="en-GB"/>
        </w:rPr>
        <w:t xml:space="preserve"> can be applied per hectare per year.</w:t>
      </w:r>
    </w:p>
    <w:p w14:paraId="54845F02" w14:textId="50D3087F" w:rsidR="00D76959" w:rsidRPr="00F87467" w:rsidRDefault="00CE0935" w:rsidP="00F87467">
      <w:pPr>
        <w:spacing w:before="60" w:after="60"/>
        <w:jc w:val="both"/>
        <w:rPr>
          <w:rFonts w:ascii="Times New Roman" w:eastAsiaTheme="minorEastAsia" w:hAnsi="Times New Roman" w:cs="Times New Roman"/>
          <w:sz w:val="24"/>
          <w:szCs w:val="24"/>
          <w:lang w:eastAsia="en-GB"/>
        </w:rPr>
      </w:pPr>
      <w:r w:rsidRPr="00F87467">
        <w:rPr>
          <w:rFonts w:ascii="Times New Roman" w:eastAsiaTheme="minorEastAsia" w:hAnsi="Times New Roman" w:cs="Times New Roman"/>
          <w:sz w:val="24"/>
          <w:szCs w:val="24"/>
          <w:lang w:eastAsia="en-GB"/>
        </w:rPr>
        <w:t xml:space="preserve">To </w:t>
      </w:r>
      <w:r w:rsidR="00D76959" w:rsidRPr="00F87467">
        <w:rPr>
          <w:rFonts w:ascii="Times New Roman" w:eastAsiaTheme="minorEastAsia" w:hAnsi="Times New Roman" w:cs="Times New Roman"/>
          <w:sz w:val="24"/>
          <w:szCs w:val="24"/>
          <w:lang w:eastAsia="en-GB"/>
        </w:rPr>
        <w:t xml:space="preserve">be able to comply with the obligations under the Nitrates Directive, users need to be informed about the </w:t>
      </w:r>
      <w:r w:rsidR="00BF4AB7">
        <w:rPr>
          <w:rFonts w:ascii="Times New Roman" w:eastAsiaTheme="minorEastAsia" w:hAnsi="Times New Roman" w:cs="Times New Roman"/>
          <w:sz w:val="24"/>
          <w:szCs w:val="24"/>
          <w:lang w:eastAsia="en-GB"/>
        </w:rPr>
        <w:t xml:space="preserve">amount of nitrogen </w:t>
      </w:r>
      <w:r w:rsidR="00BF4AB7">
        <w:rPr>
          <w:rFonts w:ascii="Times New Roman" w:hAnsi="Times New Roman" w:cs="Times New Roman"/>
          <w:sz w:val="24"/>
          <w:szCs w:val="24"/>
          <w:lang w:eastAsia="en-GB"/>
        </w:rPr>
        <w:t xml:space="preserve">that has been obtained </w:t>
      </w:r>
      <w:r w:rsidR="00BF4AB7">
        <w:rPr>
          <w:rFonts w:ascii="Times New Roman" w:eastAsiaTheme="minorEastAsia" w:hAnsi="Times New Roman" w:cs="Times New Roman"/>
          <w:sz w:val="24"/>
          <w:szCs w:val="24"/>
          <w:lang w:eastAsia="en-GB"/>
        </w:rPr>
        <w:t>from</w:t>
      </w:r>
      <w:r w:rsidR="00D76959" w:rsidRPr="00F87467">
        <w:rPr>
          <w:rFonts w:ascii="Times New Roman" w:eastAsiaTheme="minorEastAsia" w:hAnsi="Times New Roman" w:cs="Times New Roman"/>
          <w:sz w:val="24"/>
          <w:szCs w:val="24"/>
          <w:lang w:eastAsia="en-GB"/>
        </w:rPr>
        <w:t xml:space="preserve"> manure in the organic and organo-mineral fertiliser. The</w:t>
      </w:r>
      <w:r w:rsidRPr="00F87467">
        <w:rPr>
          <w:rFonts w:ascii="Times New Roman" w:eastAsiaTheme="minorEastAsia" w:hAnsi="Times New Roman" w:cs="Times New Roman"/>
          <w:sz w:val="24"/>
          <w:szCs w:val="24"/>
          <w:lang w:eastAsia="en-GB"/>
        </w:rPr>
        <w:t xml:space="preserve">refore, when declaring the origin of the </w:t>
      </w:r>
      <w:r w:rsidR="007C1D64" w:rsidRPr="00F87467">
        <w:rPr>
          <w:rFonts w:ascii="Times New Roman" w:eastAsiaTheme="minorEastAsia" w:hAnsi="Times New Roman" w:cs="Times New Roman"/>
          <w:sz w:val="24"/>
          <w:szCs w:val="24"/>
          <w:lang w:eastAsia="en-GB"/>
        </w:rPr>
        <w:t>organic</w:t>
      </w:r>
      <w:r w:rsidRPr="00F87467">
        <w:rPr>
          <w:rFonts w:ascii="Times New Roman" w:eastAsiaTheme="minorEastAsia" w:hAnsi="Times New Roman" w:cs="Times New Roman"/>
          <w:sz w:val="24"/>
          <w:szCs w:val="24"/>
          <w:lang w:eastAsia="en-GB"/>
        </w:rPr>
        <w:t xml:space="preserve"> matter, the manufacturers should declare how much organic </w:t>
      </w:r>
      <w:r w:rsidR="0014184F">
        <w:rPr>
          <w:rFonts w:ascii="Times New Roman" w:eastAsiaTheme="minorEastAsia" w:hAnsi="Times New Roman" w:cs="Times New Roman"/>
          <w:sz w:val="24"/>
          <w:szCs w:val="24"/>
          <w:lang w:eastAsia="en-GB"/>
        </w:rPr>
        <w:t>nitrogen</w:t>
      </w:r>
      <w:r w:rsidRPr="00F87467">
        <w:rPr>
          <w:rFonts w:ascii="Times New Roman" w:eastAsiaTheme="minorEastAsia" w:hAnsi="Times New Roman" w:cs="Times New Roman"/>
          <w:sz w:val="24"/>
          <w:szCs w:val="24"/>
          <w:lang w:eastAsia="en-GB"/>
        </w:rPr>
        <w:t xml:space="preserve"> of animal origin is out of manure, as a percentage of the total organic matter.</w:t>
      </w:r>
      <w:r w:rsidR="00D76959" w:rsidRPr="00F87467">
        <w:rPr>
          <w:rFonts w:ascii="Times New Roman" w:eastAsiaTheme="minorEastAsia" w:hAnsi="Times New Roman" w:cs="Times New Roman"/>
          <w:sz w:val="24"/>
          <w:szCs w:val="24"/>
          <w:lang w:eastAsia="en-GB"/>
        </w:rPr>
        <w:t xml:space="preserve"> </w:t>
      </w:r>
    </w:p>
    <w:p w14:paraId="0F9D60FD" w14:textId="77777777" w:rsidR="00D76959" w:rsidRPr="00F87467" w:rsidRDefault="00D76959" w:rsidP="00F87467">
      <w:pPr>
        <w:tabs>
          <w:tab w:val="left" w:pos="426"/>
          <w:tab w:val="left" w:pos="567"/>
        </w:tabs>
        <w:spacing w:before="60" w:after="60"/>
        <w:jc w:val="both"/>
        <w:rPr>
          <w:rFonts w:ascii="Times New Roman" w:hAnsi="Times New Roman" w:cs="Times New Roman"/>
          <w:sz w:val="24"/>
          <w:szCs w:val="24"/>
        </w:rPr>
      </w:pPr>
    </w:p>
    <w:p w14:paraId="63671193" w14:textId="367E6E13" w:rsidR="00340E29" w:rsidRPr="00F87467" w:rsidRDefault="00286311" w:rsidP="00E717A1">
      <w:pPr>
        <w:pStyle w:val="Heading1"/>
        <w:numPr>
          <w:ilvl w:val="0"/>
          <w:numId w:val="3"/>
        </w:numPr>
        <w:tabs>
          <w:tab w:val="left" w:pos="426"/>
        </w:tabs>
        <w:spacing w:before="60" w:after="60"/>
        <w:jc w:val="both"/>
        <w:rPr>
          <w:rFonts w:ascii="Times New Roman" w:hAnsi="Times New Roman" w:cs="Times New Roman"/>
          <w:sz w:val="24"/>
          <w:szCs w:val="24"/>
        </w:rPr>
      </w:pPr>
      <w:bookmarkStart w:id="61" w:name="_Toc59185422"/>
      <w:r w:rsidRPr="00F87467">
        <w:rPr>
          <w:rFonts w:ascii="Times New Roman" w:hAnsi="Times New Roman" w:cs="Times New Roman"/>
          <w:sz w:val="24"/>
          <w:szCs w:val="24"/>
        </w:rPr>
        <w:t xml:space="preserve">Annex IV - </w:t>
      </w:r>
      <w:r w:rsidR="00340E29" w:rsidRPr="00F87467">
        <w:rPr>
          <w:rFonts w:ascii="Times New Roman" w:hAnsi="Times New Roman" w:cs="Times New Roman"/>
          <w:sz w:val="24"/>
          <w:szCs w:val="24"/>
        </w:rPr>
        <w:t>Conformity assessment</w:t>
      </w:r>
      <w:r w:rsidR="00D76959" w:rsidRPr="00F87467">
        <w:rPr>
          <w:rFonts w:ascii="Times New Roman" w:hAnsi="Times New Roman" w:cs="Times New Roman"/>
          <w:sz w:val="24"/>
          <w:szCs w:val="24"/>
        </w:rPr>
        <w:t xml:space="preserve"> </w:t>
      </w:r>
      <w:bookmarkEnd w:id="61"/>
    </w:p>
    <w:p w14:paraId="76BB8569" w14:textId="52812C12" w:rsidR="003461FF" w:rsidRPr="00F87467" w:rsidRDefault="003461FF" w:rsidP="007C1D64">
      <w:pPr>
        <w:pStyle w:val="Heading2"/>
        <w:spacing w:before="60" w:after="60" w:line="276" w:lineRule="auto"/>
      </w:pPr>
      <w:bookmarkStart w:id="62" w:name="_Toc59185423"/>
      <w:r w:rsidRPr="00F87467">
        <w:t>What conformity assessment procedure</w:t>
      </w:r>
      <w:r w:rsidR="00054120" w:rsidRPr="00F87467">
        <w:t xml:space="preserve"> do</w:t>
      </w:r>
      <w:r w:rsidRPr="00F87467">
        <w:t xml:space="preserve"> the manufacturers</w:t>
      </w:r>
      <w:r w:rsidR="00054120" w:rsidRPr="00F87467">
        <w:t xml:space="preserve"> have to follow</w:t>
      </w:r>
      <w:r w:rsidRPr="00F87467">
        <w:t>?</w:t>
      </w:r>
      <w:bookmarkEnd w:id="62"/>
    </w:p>
    <w:p w14:paraId="1D776E3F" w14:textId="7B0A893D" w:rsidR="003461FF" w:rsidRPr="00F87467" w:rsidRDefault="003461FF" w:rsidP="00F87467">
      <w:pPr>
        <w:spacing w:before="60" w:after="60"/>
        <w:jc w:val="both"/>
        <w:rPr>
          <w:rFonts w:ascii="Times New Roman" w:hAnsi="Times New Roman" w:cs="Times New Roman"/>
          <w:sz w:val="24"/>
          <w:szCs w:val="24"/>
          <w:lang w:eastAsia="de-DE"/>
        </w:rPr>
      </w:pPr>
      <w:r w:rsidRPr="00F87467">
        <w:rPr>
          <w:rFonts w:ascii="Times New Roman" w:hAnsi="Times New Roman" w:cs="Times New Roman"/>
          <w:sz w:val="24"/>
          <w:szCs w:val="24"/>
          <w:lang w:eastAsia="de-DE"/>
        </w:rPr>
        <w:t xml:space="preserve">The </w:t>
      </w:r>
      <w:hyperlink r:id="rId111" w:history="1">
        <w:r w:rsidRPr="00D53265">
          <w:rPr>
            <w:rStyle w:val="Hyperlink"/>
            <w:rFonts w:ascii="Times New Roman" w:hAnsi="Times New Roman" w:cs="Times New Roman"/>
            <w:sz w:val="24"/>
            <w:szCs w:val="24"/>
            <w:lang w:eastAsia="de-DE"/>
          </w:rPr>
          <w:t>FPR</w:t>
        </w:r>
      </w:hyperlink>
      <w:r w:rsidRPr="00F87467">
        <w:rPr>
          <w:rFonts w:ascii="Times New Roman" w:hAnsi="Times New Roman" w:cs="Times New Roman"/>
          <w:sz w:val="24"/>
          <w:szCs w:val="24"/>
          <w:lang w:eastAsia="de-DE"/>
        </w:rPr>
        <w:t xml:space="preserve"> describes the conformity assessment procedures applicable to different EU fertilising products depending on their product function category (PFC) and their component material category or categories (CMC).  </w:t>
      </w:r>
    </w:p>
    <w:p w14:paraId="09CD1E6A" w14:textId="77777777" w:rsidR="003461FF" w:rsidRPr="00F87467" w:rsidRDefault="003461FF" w:rsidP="00F87467">
      <w:pPr>
        <w:spacing w:before="60" w:after="60"/>
        <w:jc w:val="both"/>
        <w:rPr>
          <w:rFonts w:ascii="Times New Roman" w:hAnsi="Times New Roman" w:cs="Times New Roman"/>
          <w:sz w:val="24"/>
          <w:szCs w:val="24"/>
          <w:lang w:eastAsia="de-DE"/>
        </w:rPr>
      </w:pPr>
      <w:r w:rsidRPr="00F87467">
        <w:rPr>
          <w:rFonts w:ascii="Times New Roman" w:hAnsi="Times New Roman" w:cs="Times New Roman"/>
          <w:sz w:val="24"/>
          <w:szCs w:val="24"/>
          <w:lang w:eastAsia="de-DE"/>
        </w:rPr>
        <w:t xml:space="preserve">Four type of procedures may apply: </w:t>
      </w:r>
    </w:p>
    <w:p w14:paraId="2C291CFB" w14:textId="77777777" w:rsidR="003461FF" w:rsidRPr="00F87467" w:rsidRDefault="003461FF" w:rsidP="00E717A1">
      <w:pPr>
        <w:pStyle w:val="ListParagraph"/>
        <w:numPr>
          <w:ilvl w:val="0"/>
          <w:numId w:val="11"/>
        </w:numPr>
        <w:spacing w:before="60" w:after="60" w:line="276" w:lineRule="auto"/>
        <w:jc w:val="both"/>
        <w:rPr>
          <w:szCs w:val="24"/>
          <w:lang w:val="en-GB"/>
        </w:rPr>
      </w:pPr>
      <w:r w:rsidRPr="00F87467">
        <w:rPr>
          <w:szCs w:val="24"/>
          <w:lang w:val="en-GB"/>
        </w:rPr>
        <w:t xml:space="preserve">Module A – internal production control </w:t>
      </w:r>
    </w:p>
    <w:p w14:paraId="7977414C" w14:textId="77777777" w:rsidR="003461FF" w:rsidRPr="00F87467" w:rsidRDefault="003461FF" w:rsidP="00E717A1">
      <w:pPr>
        <w:pStyle w:val="ListParagraph"/>
        <w:numPr>
          <w:ilvl w:val="0"/>
          <w:numId w:val="11"/>
        </w:numPr>
        <w:spacing w:before="60" w:after="60" w:line="276" w:lineRule="auto"/>
        <w:jc w:val="both"/>
        <w:rPr>
          <w:szCs w:val="24"/>
          <w:lang w:val="en-GB"/>
        </w:rPr>
      </w:pPr>
      <w:r w:rsidRPr="00F87467">
        <w:rPr>
          <w:szCs w:val="24"/>
          <w:lang w:val="en-GB"/>
        </w:rPr>
        <w:t xml:space="preserve">Module A1 – internal production control plus supervised product testing </w:t>
      </w:r>
    </w:p>
    <w:p w14:paraId="7ECB9046" w14:textId="77777777" w:rsidR="003461FF" w:rsidRPr="00F87467" w:rsidRDefault="003461FF" w:rsidP="00E717A1">
      <w:pPr>
        <w:pStyle w:val="ListParagraph"/>
        <w:numPr>
          <w:ilvl w:val="0"/>
          <w:numId w:val="11"/>
        </w:numPr>
        <w:spacing w:before="60" w:after="60" w:line="276" w:lineRule="auto"/>
        <w:jc w:val="both"/>
        <w:rPr>
          <w:szCs w:val="24"/>
          <w:lang w:val="en-GB"/>
        </w:rPr>
      </w:pPr>
      <w:r w:rsidRPr="00F87467">
        <w:rPr>
          <w:szCs w:val="24"/>
          <w:lang w:val="en-GB"/>
        </w:rPr>
        <w:t xml:space="preserve">Module B – EU type examination followed by Module C – conformity to type based on internal production control </w:t>
      </w:r>
    </w:p>
    <w:p w14:paraId="1D146C7A" w14:textId="31E6D023" w:rsidR="003461FF" w:rsidRPr="00F87467" w:rsidRDefault="003461FF" w:rsidP="00E717A1">
      <w:pPr>
        <w:pStyle w:val="ListParagraph"/>
        <w:numPr>
          <w:ilvl w:val="0"/>
          <w:numId w:val="11"/>
        </w:numPr>
        <w:spacing w:before="60" w:after="60" w:line="276" w:lineRule="auto"/>
        <w:jc w:val="both"/>
        <w:rPr>
          <w:szCs w:val="24"/>
          <w:lang w:val="en-GB"/>
        </w:rPr>
      </w:pPr>
      <w:r w:rsidRPr="00F87467">
        <w:rPr>
          <w:szCs w:val="24"/>
          <w:lang w:val="en-GB"/>
        </w:rPr>
        <w:t xml:space="preserve">Module D1 – quality assurance of the production process </w:t>
      </w:r>
    </w:p>
    <w:p w14:paraId="33923EFE" w14:textId="20911281" w:rsidR="003461FF" w:rsidRPr="00F87467" w:rsidRDefault="000C0C1D" w:rsidP="00F87467">
      <w:pPr>
        <w:spacing w:before="60" w:after="60"/>
        <w:jc w:val="both"/>
        <w:rPr>
          <w:rFonts w:ascii="Times New Roman" w:hAnsi="Times New Roman" w:cs="Times New Roman"/>
          <w:sz w:val="24"/>
          <w:szCs w:val="24"/>
          <w:lang w:eastAsia="de-DE"/>
        </w:rPr>
      </w:pPr>
      <w:r w:rsidRPr="00F87467">
        <w:rPr>
          <w:rFonts w:ascii="Times New Roman" w:hAnsi="Times New Roman" w:cs="Times New Roman"/>
          <w:sz w:val="24"/>
          <w:szCs w:val="24"/>
          <w:lang w:eastAsia="de-DE"/>
        </w:rPr>
        <w:t>In short</w:t>
      </w:r>
      <w:r w:rsidR="003461FF" w:rsidRPr="00F87467">
        <w:rPr>
          <w:rFonts w:ascii="Times New Roman" w:hAnsi="Times New Roman" w:cs="Times New Roman"/>
          <w:sz w:val="24"/>
          <w:szCs w:val="24"/>
          <w:lang w:eastAsia="de-DE"/>
        </w:rPr>
        <w:t xml:space="preserve">: </w:t>
      </w:r>
    </w:p>
    <w:p w14:paraId="3E6FAD8D" w14:textId="045D07CA" w:rsidR="003461FF" w:rsidRPr="00F87467" w:rsidRDefault="000C0C1D" w:rsidP="00F87467">
      <w:pPr>
        <w:spacing w:before="60" w:after="60"/>
        <w:jc w:val="both"/>
        <w:rPr>
          <w:rFonts w:ascii="Times New Roman" w:hAnsi="Times New Roman" w:cs="Times New Roman"/>
          <w:sz w:val="24"/>
          <w:szCs w:val="24"/>
          <w:lang w:eastAsia="de-DE"/>
        </w:rPr>
      </w:pPr>
      <w:r w:rsidRPr="00F87467">
        <w:rPr>
          <w:rFonts w:ascii="Times New Roman" w:hAnsi="Times New Roman" w:cs="Times New Roman"/>
          <w:noProof/>
          <w:sz w:val="24"/>
          <w:szCs w:val="24"/>
          <w:lang w:val="en-IE" w:eastAsia="en-IE"/>
        </w:rPr>
        <w:drawing>
          <wp:inline distT="0" distB="0" distL="0" distR="0" wp14:anchorId="00008955" wp14:editId="2FA13727">
            <wp:extent cx="5757545" cy="2370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757545" cy="2370455"/>
                    </a:xfrm>
                    <a:prstGeom prst="rect">
                      <a:avLst/>
                    </a:prstGeom>
                    <a:noFill/>
                    <a:ln>
                      <a:noFill/>
                    </a:ln>
                  </pic:spPr>
                </pic:pic>
              </a:graphicData>
            </a:graphic>
          </wp:inline>
        </w:drawing>
      </w:r>
      <w:r w:rsidR="003461FF" w:rsidRPr="00F87467">
        <w:rPr>
          <w:rFonts w:ascii="Times New Roman" w:hAnsi="Times New Roman" w:cs="Times New Roman"/>
          <w:sz w:val="24"/>
          <w:szCs w:val="24"/>
          <w:lang w:eastAsia="de-DE"/>
        </w:rPr>
        <w:t xml:space="preserve"> </w:t>
      </w:r>
    </w:p>
    <w:p w14:paraId="5D61C60C" w14:textId="77777777" w:rsidR="003461FF" w:rsidRPr="00F87467" w:rsidRDefault="003461FF" w:rsidP="00F87467">
      <w:pPr>
        <w:spacing w:before="60" w:after="60"/>
        <w:jc w:val="both"/>
        <w:rPr>
          <w:rFonts w:ascii="Times New Roman" w:hAnsi="Times New Roman" w:cs="Times New Roman"/>
          <w:sz w:val="24"/>
          <w:szCs w:val="24"/>
          <w:lang w:eastAsia="de-DE"/>
        </w:rPr>
      </w:pPr>
      <w:r w:rsidRPr="00F87467">
        <w:rPr>
          <w:rFonts w:ascii="Times New Roman" w:hAnsi="Times New Roman" w:cs="Times New Roman"/>
          <w:sz w:val="24"/>
          <w:szCs w:val="24"/>
          <w:lang w:eastAsia="de-DE"/>
        </w:rPr>
        <w:t xml:space="preserve">* With the exception of ammonium nitrate fertilisers of high nitrogen content to which only Module A1 applies.  </w:t>
      </w:r>
    </w:p>
    <w:p w14:paraId="0AF7B3AC" w14:textId="77777777" w:rsidR="003461FF" w:rsidRPr="00F87467" w:rsidRDefault="003461FF" w:rsidP="00F87467">
      <w:pPr>
        <w:spacing w:before="60" w:after="60"/>
        <w:jc w:val="both"/>
        <w:rPr>
          <w:rFonts w:ascii="Times New Roman" w:hAnsi="Times New Roman" w:cs="Times New Roman"/>
          <w:sz w:val="24"/>
          <w:szCs w:val="24"/>
          <w:lang w:eastAsia="de-DE"/>
        </w:rPr>
      </w:pPr>
      <w:r w:rsidRPr="00F87467">
        <w:rPr>
          <w:rFonts w:ascii="Times New Roman" w:hAnsi="Times New Roman" w:cs="Times New Roman"/>
          <w:sz w:val="24"/>
          <w:szCs w:val="24"/>
          <w:lang w:eastAsia="de-DE"/>
        </w:rPr>
        <w:t xml:space="preserve">Note: </w:t>
      </w:r>
    </w:p>
    <w:p w14:paraId="2C3278E2" w14:textId="77777777" w:rsidR="003461FF" w:rsidRPr="00F87467" w:rsidRDefault="003461FF" w:rsidP="00E717A1">
      <w:pPr>
        <w:pStyle w:val="ListParagraph"/>
        <w:numPr>
          <w:ilvl w:val="0"/>
          <w:numId w:val="11"/>
        </w:numPr>
        <w:spacing w:before="60" w:after="60" w:line="276" w:lineRule="auto"/>
        <w:jc w:val="both"/>
        <w:rPr>
          <w:szCs w:val="24"/>
          <w:lang w:val="en-GB"/>
        </w:rPr>
      </w:pPr>
      <w:r w:rsidRPr="00F87467">
        <w:rPr>
          <w:szCs w:val="24"/>
          <w:lang w:val="en-GB"/>
        </w:rPr>
        <w:t xml:space="preserve">when Module A may apply to a product, the manufacturer can chose to apply Modules B + C or D1 instead </w:t>
      </w:r>
    </w:p>
    <w:p w14:paraId="148F6951" w14:textId="77777777" w:rsidR="003461FF" w:rsidRPr="00F87467" w:rsidRDefault="003461FF" w:rsidP="00E717A1">
      <w:pPr>
        <w:pStyle w:val="ListParagraph"/>
        <w:numPr>
          <w:ilvl w:val="0"/>
          <w:numId w:val="11"/>
        </w:numPr>
        <w:spacing w:before="60" w:after="60" w:line="276" w:lineRule="auto"/>
        <w:jc w:val="both"/>
        <w:rPr>
          <w:i/>
          <w:szCs w:val="24"/>
          <w:lang w:val="en-GB"/>
        </w:rPr>
      </w:pPr>
      <w:r w:rsidRPr="00F87467">
        <w:rPr>
          <w:szCs w:val="24"/>
          <w:lang w:val="en-GB"/>
        </w:rPr>
        <w:t xml:space="preserve">when Modules B + C may apply to a product, the manufacturer may choose to apply Module D1 instead  </w:t>
      </w:r>
    </w:p>
    <w:p w14:paraId="0F2C0B9D" w14:textId="6E384A68" w:rsidR="003461FF" w:rsidRPr="00F87467" w:rsidRDefault="003461FF" w:rsidP="00E717A1">
      <w:pPr>
        <w:pStyle w:val="ListParagraph"/>
        <w:numPr>
          <w:ilvl w:val="0"/>
          <w:numId w:val="11"/>
        </w:numPr>
        <w:spacing w:before="60" w:after="60" w:line="276" w:lineRule="auto"/>
        <w:jc w:val="both"/>
        <w:rPr>
          <w:szCs w:val="24"/>
          <w:lang w:val="en-GB"/>
        </w:rPr>
      </w:pPr>
      <w:r w:rsidRPr="00F87467">
        <w:rPr>
          <w:szCs w:val="24"/>
          <w:lang w:val="en-GB"/>
        </w:rPr>
        <w:lastRenderedPageBreak/>
        <w:t xml:space="preserve">Module D1 may apply to any EU fertilising products, except ammonium nitrate fertilisers of high nitrogen content.  </w:t>
      </w:r>
    </w:p>
    <w:p w14:paraId="008B67A7" w14:textId="5213DCBC" w:rsidR="003461FF" w:rsidRPr="00F87467" w:rsidRDefault="003461FF" w:rsidP="00F87467">
      <w:pPr>
        <w:spacing w:before="60" w:after="60"/>
        <w:jc w:val="both"/>
        <w:rPr>
          <w:rFonts w:ascii="Times New Roman" w:hAnsi="Times New Roman" w:cs="Times New Roman"/>
          <w:sz w:val="24"/>
          <w:szCs w:val="24"/>
        </w:rPr>
      </w:pPr>
    </w:p>
    <w:p w14:paraId="171E983A" w14:textId="1441AF7C" w:rsidR="00F65F46" w:rsidRDefault="00054120" w:rsidP="00F87467">
      <w:pPr>
        <w:spacing w:before="60" w:after="60"/>
        <w:jc w:val="both"/>
        <w:rPr>
          <w:rFonts w:ascii="Times New Roman" w:hAnsi="Times New Roman" w:cs="Times New Roman"/>
          <w:sz w:val="24"/>
          <w:szCs w:val="24"/>
        </w:rPr>
      </w:pPr>
      <w:r w:rsidRPr="00F87467">
        <w:rPr>
          <w:rFonts w:ascii="Times New Roman" w:hAnsi="Times New Roman" w:cs="Times New Roman"/>
          <w:sz w:val="24"/>
          <w:szCs w:val="24"/>
        </w:rPr>
        <w:t>For more details, see</w:t>
      </w:r>
      <w:r w:rsidR="006B6EBD">
        <w:rPr>
          <w:rFonts w:ascii="Times New Roman" w:hAnsi="Times New Roman" w:cs="Times New Roman"/>
          <w:sz w:val="24"/>
          <w:szCs w:val="24"/>
        </w:rPr>
        <w:t xml:space="preserve"> </w:t>
      </w:r>
      <w:r w:rsidR="00F65F46">
        <w:rPr>
          <w:rFonts w:ascii="Times New Roman" w:hAnsi="Times New Roman" w:cs="Times New Roman"/>
          <w:sz w:val="24"/>
          <w:szCs w:val="24"/>
        </w:rPr>
        <w:t xml:space="preserve">this </w:t>
      </w:r>
      <w:hyperlink r:id="rId113" w:history="1">
        <w:r w:rsidR="00F65F46" w:rsidRPr="00F65F46">
          <w:rPr>
            <w:rStyle w:val="Hyperlink"/>
            <w:rFonts w:ascii="Times New Roman" w:hAnsi="Times New Roman" w:cs="Times New Roman"/>
            <w:sz w:val="24"/>
            <w:szCs w:val="24"/>
          </w:rPr>
          <w:t>table</w:t>
        </w:r>
      </w:hyperlink>
      <w:r w:rsidR="00F65F46">
        <w:rPr>
          <w:rFonts w:ascii="Times New Roman" w:hAnsi="Times New Roman" w:cs="Times New Roman"/>
          <w:sz w:val="24"/>
          <w:szCs w:val="24"/>
        </w:rPr>
        <w:t xml:space="preserve">. </w:t>
      </w:r>
    </w:p>
    <w:p w14:paraId="5CFB0B75" w14:textId="37D6683D" w:rsidR="00E00C5E" w:rsidRPr="00F87467" w:rsidRDefault="00E00C5E" w:rsidP="00F87467">
      <w:pPr>
        <w:spacing w:before="60" w:after="60"/>
        <w:jc w:val="both"/>
        <w:rPr>
          <w:rFonts w:ascii="Times New Roman" w:hAnsi="Times New Roman" w:cs="Times New Roman"/>
          <w:sz w:val="24"/>
          <w:szCs w:val="24"/>
        </w:rPr>
      </w:pPr>
    </w:p>
    <w:p w14:paraId="224093C8" w14:textId="5D2738BC" w:rsidR="003461FF" w:rsidRPr="00F87467" w:rsidRDefault="00C31109" w:rsidP="00F87467">
      <w:pPr>
        <w:pStyle w:val="Heading2"/>
        <w:spacing w:before="60" w:after="60" w:line="276" w:lineRule="auto"/>
      </w:pPr>
      <w:r w:rsidRPr="00F87467">
        <w:t xml:space="preserve"> </w:t>
      </w:r>
      <w:bookmarkStart w:id="63" w:name="_Toc59185424"/>
      <w:r w:rsidRPr="00F87467">
        <w:t>Can conformity assessment be done even if harmonised standards are not adopted?</w:t>
      </w:r>
      <w:bookmarkEnd w:id="63"/>
    </w:p>
    <w:p w14:paraId="3ED9D149" w14:textId="23C1FDC7" w:rsidR="00C31109" w:rsidRPr="00F87467" w:rsidRDefault="00C31109" w:rsidP="00F87467">
      <w:pPr>
        <w:spacing w:before="60" w:after="60"/>
        <w:jc w:val="both"/>
        <w:rPr>
          <w:rFonts w:ascii="Times New Roman" w:hAnsi="Times New Roman" w:cs="Times New Roman"/>
          <w:sz w:val="24"/>
          <w:szCs w:val="24"/>
          <w:lang w:eastAsia="de-DE"/>
        </w:rPr>
      </w:pPr>
      <w:r w:rsidRPr="00F87467">
        <w:rPr>
          <w:rFonts w:ascii="Times New Roman" w:hAnsi="Times New Roman" w:cs="Times New Roman"/>
          <w:sz w:val="24"/>
          <w:szCs w:val="24"/>
          <w:lang w:eastAsia="de-DE"/>
        </w:rPr>
        <w:t xml:space="preserve">Yes. The </w:t>
      </w:r>
      <w:hyperlink r:id="rId114" w:history="1">
        <w:r w:rsidRPr="00D53265">
          <w:rPr>
            <w:rStyle w:val="Hyperlink"/>
            <w:rFonts w:ascii="Times New Roman" w:hAnsi="Times New Roman" w:cs="Times New Roman"/>
            <w:sz w:val="24"/>
            <w:szCs w:val="24"/>
            <w:lang w:eastAsia="de-DE"/>
          </w:rPr>
          <w:t>FPR</w:t>
        </w:r>
      </w:hyperlink>
      <w:r w:rsidRPr="00F87467">
        <w:rPr>
          <w:rFonts w:ascii="Times New Roman" w:hAnsi="Times New Roman" w:cs="Times New Roman"/>
          <w:sz w:val="24"/>
          <w:szCs w:val="24"/>
          <w:lang w:eastAsia="de-DE"/>
        </w:rPr>
        <w:t xml:space="preserve"> lays down mandatory requirements for EU fertilising products which apply independently of any standards.  </w:t>
      </w:r>
    </w:p>
    <w:p w14:paraId="453EB4F6" w14:textId="77777777" w:rsidR="00C31109" w:rsidRPr="00F87467" w:rsidRDefault="00C31109" w:rsidP="00F87467">
      <w:pPr>
        <w:spacing w:before="60" w:after="60"/>
        <w:jc w:val="both"/>
        <w:rPr>
          <w:rFonts w:ascii="Times New Roman" w:hAnsi="Times New Roman" w:cs="Times New Roman"/>
          <w:sz w:val="24"/>
          <w:szCs w:val="24"/>
          <w:lang w:eastAsia="de-DE"/>
        </w:rPr>
      </w:pPr>
      <w:r w:rsidRPr="00F87467">
        <w:rPr>
          <w:rFonts w:ascii="Times New Roman" w:hAnsi="Times New Roman" w:cs="Times New Roman"/>
          <w:sz w:val="24"/>
          <w:szCs w:val="24"/>
          <w:lang w:eastAsia="de-DE"/>
        </w:rPr>
        <w:t xml:space="preserve">It is for the manufacturer to prove that the product is compliant with these requirements, by any means. The manufacturer bears full responsibility for the compliance of products placed on the market.  </w:t>
      </w:r>
    </w:p>
    <w:p w14:paraId="11B11A3C" w14:textId="5C95F096" w:rsidR="00C31109" w:rsidRPr="00F87467" w:rsidRDefault="00C31109" w:rsidP="00F87467">
      <w:pPr>
        <w:spacing w:before="60" w:after="60"/>
        <w:jc w:val="both"/>
        <w:rPr>
          <w:rFonts w:ascii="Times New Roman" w:hAnsi="Times New Roman" w:cs="Times New Roman"/>
          <w:sz w:val="24"/>
          <w:szCs w:val="24"/>
          <w:lang w:eastAsia="de-DE"/>
        </w:rPr>
      </w:pPr>
      <w:r w:rsidRPr="00F87467">
        <w:rPr>
          <w:rFonts w:ascii="Times New Roman" w:hAnsi="Times New Roman" w:cs="Times New Roman"/>
          <w:sz w:val="24"/>
          <w:szCs w:val="24"/>
          <w:lang w:eastAsia="de-DE"/>
        </w:rPr>
        <w:t xml:space="preserve">EU fertilising products which are in compliance with a harmonised standard, the reference of which has been published in the </w:t>
      </w:r>
      <w:r w:rsidRPr="00F87467">
        <w:rPr>
          <w:rFonts w:ascii="Times New Roman" w:hAnsi="Times New Roman" w:cs="Times New Roman"/>
          <w:i/>
          <w:sz w:val="24"/>
          <w:szCs w:val="24"/>
          <w:lang w:eastAsia="de-DE"/>
        </w:rPr>
        <w:t>Official Journal of the European Union</w:t>
      </w:r>
      <w:r w:rsidRPr="00F87467">
        <w:rPr>
          <w:rFonts w:ascii="Times New Roman" w:hAnsi="Times New Roman" w:cs="Times New Roman"/>
          <w:sz w:val="24"/>
          <w:szCs w:val="24"/>
          <w:lang w:eastAsia="de-DE"/>
        </w:rPr>
        <w:t xml:space="preserve"> for the purpose of the </w:t>
      </w:r>
      <w:hyperlink r:id="rId115" w:history="1">
        <w:r w:rsidR="006215C9" w:rsidRPr="00D53265">
          <w:rPr>
            <w:rStyle w:val="Hyperlink"/>
            <w:rFonts w:ascii="Times New Roman" w:hAnsi="Times New Roman" w:cs="Times New Roman"/>
            <w:sz w:val="24"/>
            <w:szCs w:val="24"/>
            <w:lang w:eastAsia="de-DE"/>
          </w:rPr>
          <w:t>FPR</w:t>
        </w:r>
      </w:hyperlink>
      <w:r w:rsidRPr="00F87467">
        <w:rPr>
          <w:rFonts w:ascii="Times New Roman" w:hAnsi="Times New Roman" w:cs="Times New Roman"/>
          <w:sz w:val="24"/>
          <w:szCs w:val="24"/>
          <w:lang w:eastAsia="de-DE"/>
        </w:rPr>
        <w:t xml:space="preserve">, are presumed to be in compliance with the requirements covered by that standard.  </w:t>
      </w:r>
    </w:p>
    <w:p w14:paraId="745743C1" w14:textId="433F38A6" w:rsidR="00C31109" w:rsidRDefault="00C31109" w:rsidP="00F87467">
      <w:pPr>
        <w:spacing w:before="60" w:after="60"/>
        <w:jc w:val="both"/>
        <w:rPr>
          <w:rFonts w:ascii="Times New Roman" w:hAnsi="Times New Roman" w:cs="Times New Roman"/>
          <w:sz w:val="24"/>
          <w:szCs w:val="24"/>
          <w:lang w:eastAsia="de-DE"/>
        </w:rPr>
      </w:pPr>
      <w:r w:rsidRPr="00F87467">
        <w:rPr>
          <w:rFonts w:ascii="Times New Roman" w:hAnsi="Times New Roman" w:cs="Times New Roman"/>
          <w:sz w:val="24"/>
          <w:szCs w:val="24"/>
          <w:lang w:eastAsia="de-DE"/>
        </w:rPr>
        <w:t>However, using such harmonised standards is not mandatory. The manufacturer may prove compliance with the Regulation by other means, such as different technical specifications. In the latter case, products will not benefit from the presumption of conformity and it will be up to the manufacturer to demonstrate that the products comply with the applicable requirements in the Regulation.</w:t>
      </w:r>
    </w:p>
    <w:p w14:paraId="6B6CFE6F" w14:textId="77777777" w:rsidR="002C2CCD" w:rsidRPr="00F87467" w:rsidRDefault="002C2CCD" w:rsidP="00F87467">
      <w:pPr>
        <w:spacing w:before="60" w:after="60"/>
        <w:jc w:val="both"/>
        <w:rPr>
          <w:rFonts w:ascii="Times New Roman" w:hAnsi="Times New Roman" w:cs="Times New Roman"/>
          <w:sz w:val="24"/>
          <w:szCs w:val="24"/>
        </w:rPr>
      </w:pPr>
    </w:p>
    <w:p w14:paraId="66263A93" w14:textId="77777777" w:rsidR="00D41DA5" w:rsidRPr="00F87467" w:rsidRDefault="00C31109" w:rsidP="00F87467">
      <w:pPr>
        <w:pStyle w:val="Heading2"/>
        <w:spacing w:before="60" w:after="60" w:line="276" w:lineRule="auto"/>
      </w:pPr>
      <w:r w:rsidRPr="00F87467">
        <w:t xml:space="preserve"> </w:t>
      </w:r>
      <w:bookmarkStart w:id="64" w:name="_Toc59185425"/>
      <w:r w:rsidR="006D5742" w:rsidRPr="00F87467">
        <w:t>If a manufacturer subcontract</w:t>
      </w:r>
      <w:r w:rsidR="00D41DA5" w:rsidRPr="00F87467">
        <w:t>s</w:t>
      </w:r>
      <w:r w:rsidR="006D5742" w:rsidRPr="00F87467">
        <w:t xml:space="preserve"> certain parts of the production process to other company, using the original production process of the manufacturer, is it necessary to do a different conformity assessment?</w:t>
      </w:r>
      <w:bookmarkEnd w:id="64"/>
      <w:r w:rsidR="006D5742" w:rsidRPr="00F87467">
        <w:t xml:space="preserve">  </w:t>
      </w:r>
    </w:p>
    <w:p w14:paraId="3471C184" w14:textId="4AF9D1EB" w:rsidR="00340E29" w:rsidRPr="00F87467" w:rsidRDefault="00D41DA5" w:rsidP="00F87467">
      <w:pPr>
        <w:keepNext/>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No. </w:t>
      </w:r>
      <w:r w:rsidR="00340E29" w:rsidRPr="00F87467">
        <w:rPr>
          <w:rFonts w:ascii="Times New Roman" w:hAnsi="Times New Roman" w:cs="Times New Roman"/>
          <w:sz w:val="24"/>
          <w:szCs w:val="24"/>
        </w:rPr>
        <w:t>The manufacturer may design and manufacture the product himself</w:t>
      </w:r>
      <w:r w:rsidRPr="00F87467">
        <w:rPr>
          <w:rFonts w:ascii="Times New Roman" w:hAnsi="Times New Roman" w:cs="Times New Roman"/>
          <w:sz w:val="24"/>
          <w:szCs w:val="24"/>
        </w:rPr>
        <w:t>/herself</w:t>
      </w:r>
      <w:r w:rsidR="00340E29" w:rsidRPr="00F87467">
        <w:rPr>
          <w:rFonts w:ascii="Times New Roman" w:hAnsi="Times New Roman" w:cs="Times New Roman"/>
          <w:sz w:val="24"/>
          <w:szCs w:val="24"/>
        </w:rPr>
        <w:t xml:space="preserve"> or subcontract part/-s of the manufacturing process to another operator. Where subcontracting takes place, the manufacturer must retain the overall control for the product and ensure that he</w:t>
      </w:r>
      <w:r w:rsidRPr="00F87467">
        <w:rPr>
          <w:rFonts w:ascii="Times New Roman" w:hAnsi="Times New Roman" w:cs="Times New Roman"/>
          <w:sz w:val="24"/>
          <w:szCs w:val="24"/>
        </w:rPr>
        <w:t xml:space="preserve"> or she</w:t>
      </w:r>
      <w:r w:rsidR="00340E29" w:rsidRPr="00F87467">
        <w:rPr>
          <w:rFonts w:ascii="Times New Roman" w:hAnsi="Times New Roman" w:cs="Times New Roman"/>
          <w:sz w:val="24"/>
          <w:szCs w:val="24"/>
        </w:rPr>
        <w:t xml:space="preserve"> receives all the information that is necessary to </w:t>
      </w:r>
      <w:r w:rsidR="005F0435" w:rsidRPr="00811D94">
        <w:rPr>
          <w:rFonts w:ascii="Times New Roman" w:hAnsi="Times New Roman" w:cs="Times New Roman"/>
          <w:sz w:val="24"/>
          <w:szCs w:val="24"/>
        </w:rPr>
        <w:t xml:space="preserve">guarantee the compliance of the product with the applicable </w:t>
      </w:r>
      <w:r w:rsidR="00811D94" w:rsidRPr="00811D94">
        <w:rPr>
          <w:rFonts w:ascii="Times New Roman" w:hAnsi="Times New Roman" w:cs="Times New Roman"/>
          <w:sz w:val="24"/>
          <w:szCs w:val="24"/>
        </w:rPr>
        <w:t>requirements</w:t>
      </w:r>
      <w:r w:rsidR="005F0435" w:rsidRPr="00811D94">
        <w:rPr>
          <w:rFonts w:ascii="Times New Roman" w:hAnsi="Times New Roman" w:cs="Times New Roman"/>
          <w:sz w:val="24"/>
          <w:szCs w:val="24"/>
        </w:rPr>
        <w:t xml:space="preserve"> and to carry out</w:t>
      </w:r>
      <w:r w:rsidR="005F0435" w:rsidRPr="00811D94" w:rsidDel="005F0435">
        <w:rPr>
          <w:rFonts w:ascii="Times New Roman" w:hAnsi="Times New Roman" w:cs="Times New Roman"/>
          <w:sz w:val="24"/>
          <w:szCs w:val="24"/>
        </w:rPr>
        <w:t xml:space="preserve"> </w:t>
      </w:r>
      <w:r w:rsidRPr="00811D94">
        <w:rPr>
          <w:rFonts w:ascii="Times New Roman" w:hAnsi="Times New Roman" w:cs="Times New Roman"/>
          <w:sz w:val="24"/>
          <w:szCs w:val="24"/>
        </w:rPr>
        <w:t>the conformity</w:t>
      </w:r>
      <w:r w:rsidRPr="00F87467">
        <w:rPr>
          <w:rFonts w:ascii="Times New Roman" w:hAnsi="Times New Roman" w:cs="Times New Roman"/>
          <w:sz w:val="24"/>
          <w:szCs w:val="24"/>
        </w:rPr>
        <w:t xml:space="preserve"> assessment procedure</w:t>
      </w:r>
      <w:r w:rsidR="00340E29" w:rsidRPr="00F87467">
        <w:rPr>
          <w:rFonts w:ascii="Times New Roman" w:hAnsi="Times New Roman" w:cs="Times New Roman"/>
          <w:sz w:val="24"/>
          <w:szCs w:val="24"/>
        </w:rPr>
        <w:t>. The manufacturer who subcontracts some or all of his</w:t>
      </w:r>
      <w:r w:rsidRPr="00F87467">
        <w:rPr>
          <w:rFonts w:ascii="Times New Roman" w:hAnsi="Times New Roman" w:cs="Times New Roman"/>
          <w:sz w:val="24"/>
          <w:szCs w:val="24"/>
        </w:rPr>
        <w:t xml:space="preserve"> or her</w:t>
      </w:r>
      <w:r w:rsidR="00340E29" w:rsidRPr="00F87467">
        <w:rPr>
          <w:rFonts w:ascii="Times New Roman" w:hAnsi="Times New Roman" w:cs="Times New Roman"/>
          <w:sz w:val="24"/>
          <w:szCs w:val="24"/>
        </w:rPr>
        <w:t xml:space="preserve"> activities may </w:t>
      </w:r>
      <w:r w:rsidR="007C1D64">
        <w:rPr>
          <w:rFonts w:ascii="Times New Roman" w:hAnsi="Times New Roman" w:cs="Times New Roman"/>
          <w:sz w:val="24"/>
          <w:szCs w:val="24"/>
        </w:rPr>
        <w:t>not, under</w:t>
      </w:r>
      <w:r w:rsidR="007C1D64" w:rsidRPr="00F87467">
        <w:rPr>
          <w:rFonts w:ascii="Times New Roman" w:hAnsi="Times New Roman" w:cs="Times New Roman"/>
          <w:sz w:val="24"/>
          <w:szCs w:val="24"/>
        </w:rPr>
        <w:t xml:space="preserve"> </w:t>
      </w:r>
      <w:r w:rsidR="007C1D64">
        <w:rPr>
          <w:rFonts w:ascii="Times New Roman" w:hAnsi="Times New Roman" w:cs="Times New Roman"/>
          <w:sz w:val="24"/>
          <w:szCs w:val="24"/>
        </w:rPr>
        <w:t>any</w:t>
      </w:r>
      <w:r w:rsidR="007C1D64" w:rsidRPr="00F87467">
        <w:rPr>
          <w:rFonts w:ascii="Times New Roman" w:hAnsi="Times New Roman" w:cs="Times New Roman"/>
          <w:sz w:val="24"/>
          <w:szCs w:val="24"/>
        </w:rPr>
        <w:t xml:space="preserve"> </w:t>
      </w:r>
      <w:r w:rsidR="00340E29" w:rsidRPr="00F87467">
        <w:rPr>
          <w:rFonts w:ascii="Times New Roman" w:hAnsi="Times New Roman" w:cs="Times New Roman"/>
          <w:sz w:val="24"/>
          <w:szCs w:val="24"/>
        </w:rPr>
        <w:t>circumstances</w:t>
      </w:r>
      <w:r w:rsidR="007C1D64">
        <w:rPr>
          <w:rFonts w:ascii="Times New Roman" w:hAnsi="Times New Roman" w:cs="Times New Roman"/>
          <w:sz w:val="24"/>
          <w:szCs w:val="24"/>
        </w:rPr>
        <w:t>,</w:t>
      </w:r>
      <w:r w:rsidR="00340E29" w:rsidRPr="00F87467">
        <w:rPr>
          <w:rFonts w:ascii="Times New Roman" w:hAnsi="Times New Roman" w:cs="Times New Roman"/>
          <w:sz w:val="24"/>
          <w:szCs w:val="24"/>
        </w:rPr>
        <w:t xml:space="preserve"> discharge himself</w:t>
      </w:r>
      <w:r w:rsidRPr="00F87467">
        <w:rPr>
          <w:rFonts w:ascii="Times New Roman" w:hAnsi="Times New Roman" w:cs="Times New Roman"/>
          <w:sz w:val="24"/>
          <w:szCs w:val="24"/>
        </w:rPr>
        <w:t>/herself</w:t>
      </w:r>
      <w:r w:rsidR="00340E29" w:rsidRPr="00F87467">
        <w:rPr>
          <w:rFonts w:ascii="Times New Roman" w:hAnsi="Times New Roman" w:cs="Times New Roman"/>
          <w:sz w:val="24"/>
          <w:szCs w:val="24"/>
        </w:rPr>
        <w:t xml:space="preserve"> from </w:t>
      </w:r>
      <w:r w:rsidRPr="00F87467">
        <w:rPr>
          <w:rFonts w:ascii="Times New Roman" w:hAnsi="Times New Roman" w:cs="Times New Roman"/>
          <w:sz w:val="24"/>
          <w:szCs w:val="24"/>
        </w:rPr>
        <w:t xml:space="preserve">the </w:t>
      </w:r>
      <w:r w:rsidR="00340E29" w:rsidRPr="00F87467">
        <w:rPr>
          <w:rFonts w:ascii="Times New Roman" w:hAnsi="Times New Roman" w:cs="Times New Roman"/>
          <w:sz w:val="24"/>
          <w:szCs w:val="24"/>
        </w:rPr>
        <w:t>responsibilities</w:t>
      </w:r>
      <w:r w:rsidRPr="00F87467">
        <w:rPr>
          <w:rFonts w:ascii="Times New Roman" w:hAnsi="Times New Roman" w:cs="Times New Roman"/>
          <w:sz w:val="24"/>
          <w:szCs w:val="24"/>
        </w:rPr>
        <w:t xml:space="preserve"> under the </w:t>
      </w:r>
      <w:hyperlink r:id="rId116" w:history="1">
        <w:r w:rsidRPr="00D53265">
          <w:rPr>
            <w:rStyle w:val="Hyperlink"/>
            <w:rFonts w:ascii="Times New Roman" w:hAnsi="Times New Roman" w:cs="Times New Roman"/>
            <w:sz w:val="24"/>
            <w:szCs w:val="24"/>
          </w:rPr>
          <w:t>FPR</w:t>
        </w:r>
      </w:hyperlink>
      <w:r w:rsidR="00340E29" w:rsidRPr="00F87467">
        <w:rPr>
          <w:rFonts w:ascii="Times New Roman" w:hAnsi="Times New Roman" w:cs="Times New Roman"/>
          <w:sz w:val="24"/>
          <w:szCs w:val="24"/>
        </w:rPr>
        <w:t xml:space="preserve">. </w:t>
      </w:r>
    </w:p>
    <w:p w14:paraId="3ED042F8" w14:textId="75281AB8" w:rsidR="00D41DA5" w:rsidRPr="00F87467" w:rsidRDefault="00D41DA5"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Provided that the manufacturing process is not changed, the conformity assessment procedure is not to be repeated if the manufacturer decides to start subcontracting parts of it</w:t>
      </w:r>
      <w:r w:rsidR="005F0435" w:rsidRPr="005B236B">
        <w:rPr>
          <w:rFonts w:ascii="Times New Roman" w:hAnsi="Times New Roman" w:cs="Times New Roman"/>
          <w:sz w:val="24"/>
          <w:szCs w:val="24"/>
        </w:rPr>
        <w:t>, but the manufacturer continues to retain overall responsibility for the compliance of the product</w:t>
      </w:r>
      <w:r w:rsidRPr="005B236B">
        <w:rPr>
          <w:rFonts w:ascii="Times New Roman" w:hAnsi="Times New Roman" w:cs="Times New Roman"/>
          <w:sz w:val="24"/>
          <w:szCs w:val="24"/>
        </w:rPr>
        <w:t>.</w:t>
      </w:r>
      <w:r w:rsidRPr="00F87467">
        <w:rPr>
          <w:rFonts w:ascii="Times New Roman" w:hAnsi="Times New Roman" w:cs="Times New Roman"/>
          <w:sz w:val="24"/>
          <w:szCs w:val="24"/>
        </w:rPr>
        <w:t xml:space="preserve"> </w:t>
      </w:r>
    </w:p>
    <w:p w14:paraId="0B19A46C" w14:textId="3A2D13EF" w:rsidR="00340E29" w:rsidRDefault="00340E29"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The manufacturer has ultimate responsibility for the conformity of the product to the applicable legal requirements, as far as he/she places the product on the market under his name or trademark. Therefore, he/she needs to carry out the conformity assessment him</w:t>
      </w:r>
      <w:r w:rsidR="00D41DA5" w:rsidRPr="00F87467">
        <w:rPr>
          <w:rFonts w:ascii="Times New Roman" w:hAnsi="Times New Roman" w:cs="Times New Roman"/>
          <w:sz w:val="24"/>
          <w:szCs w:val="24"/>
        </w:rPr>
        <w:t>self</w:t>
      </w:r>
      <w:r w:rsidRPr="00F87467">
        <w:rPr>
          <w:rFonts w:ascii="Times New Roman" w:hAnsi="Times New Roman" w:cs="Times New Roman"/>
          <w:sz w:val="24"/>
          <w:szCs w:val="24"/>
        </w:rPr>
        <w:t xml:space="preserve">/herself </w:t>
      </w:r>
      <w:r w:rsidR="00D00982" w:rsidRPr="00F87467">
        <w:rPr>
          <w:rFonts w:ascii="Times New Roman" w:hAnsi="Times New Roman" w:cs="Times New Roman"/>
          <w:sz w:val="24"/>
          <w:szCs w:val="24"/>
        </w:rPr>
        <w:t>or</w:t>
      </w:r>
      <w:r w:rsidR="00B27D27" w:rsidRPr="00F87467">
        <w:rPr>
          <w:rFonts w:ascii="Times New Roman" w:hAnsi="Times New Roman" w:cs="Times New Roman"/>
          <w:sz w:val="24"/>
          <w:szCs w:val="24"/>
        </w:rPr>
        <w:t xml:space="preserve"> </w:t>
      </w:r>
      <w:r w:rsidRPr="00F87467">
        <w:rPr>
          <w:rFonts w:ascii="Times New Roman" w:hAnsi="Times New Roman" w:cs="Times New Roman"/>
          <w:sz w:val="24"/>
          <w:szCs w:val="24"/>
        </w:rPr>
        <w:t xml:space="preserve">be in the possession of all documentation and certificates necessary to demonstrate the conformity of his/her product. </w:t>
      </w:r>
    </w:p>
    <w:p w14:paraId="6E629D20" w14:textId="77777777" w:rsidR="002C2CCD" w:rsidRPr="00F87467" w:rsidRDefault="002C2CCD" w:rsidP="00F87467">
      <w:pPr>
        <w:tabs>
          <w:tab w:val="left" w:pos="426"/>
        </w:tabs>
        <w:spacing w:before="60" w:after="60"/>
        <w:jc w:val="both"/>
        <w:rPr>
          <w:rFonts w:ascii="Times New Roman" w:hAnsi="Times New Roman" w:cs="Times New Roman"/>
          <w:sz w:val="24"/>
          <w:szCs w:val="24"/>
        </w:rPr>
      </w:pPr>
    </w:p>
    <w:p w14:paraId="139A419A" w14:textId="207B8240" w:rsidR="00D41DA5" w:rsidRPr="00F87467" w:rsidRDefault="00CE0935" w:rsidP="00F87467">
      <w:pPr>
        <w:pStyle w:val="Heading2"/>
        <w:spacing w:before="60" w:after="60" w:line="276" w:lineRule="auto"/>
      </w:pPr>
      <w:r>
        <w:lastRenderedPageBreak/>
        <w:t xml:space="preserve"> </w:t>
      </w:r>
      <w:bookmarkStart w:id="65" w:name="_Toc59185426"/>
      <w:r w:rsidR="00F2229C" w:rsidRPr="00F87467">
        <w:t>Who performs the conformity assessment in case the product is produced by a manufacturer from a third country and imported in the EU</w:t>
      </w:r>
      <w:r w:rsidR="00D41DA5" w:rsidRPr="00F87467">
        <w:t>?</w:t>
      </w:r>
      <w:bookmarkEnd w:id="65"/>
    </w:p>
    <w:p w14:paraId="294482A0" w14:textId="4327796C" w:rsidR="00F2229C" w:rsidRPr="00F87467" w:rsidRDefault="00F2229C"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The conformity assessment procedure is to be followed by manufacturers</w:t>
      </w:r>
      <w:r w:rsidR="00B27D27" w:rsidRPr="00F87467">
        <w:rPr>
          <w:rFonts w:ascii="Times New Roman" w:hAnsi="Times New Roman" w:cs="Times New Roman"/>
          <w:sz w:val="24"/>
          <w:szCs w:val="24"/>
        </w:rPr>
        <w:t xml:space="preserve"> </w:t>
      </w:r>
      <w:r w:rsidR="00AB4396" w:rsidRPr="00F87467">
        <w:rPr>
          <w:rFonts w:ascii="Times New Roman" w:hAnsi="Times New Roman" w:cs="Times New Roman"/>
          <w:sz w:val="24"/>
          <w:szCs w:val="24"/>
        </w:rPr>
        <w:t>irrespective</w:t>
      </w:r>
      <w:r w:rsidRPr="00F87467">
        <w:rPr>
          <w:rFonts w:ascii="Times New Roman" w:hAnsi="Times New Roman" w:cs="Times New Roman"/>
          <w:sz w:val="24"/>
          <w:szCs w:val="24"/>
        </w:rPr>
        <w:t xml:space="preserve"> of whether they are established in an EU country or a third country. </w:t>
      </w:r>
    </w:p>
    <w:p w14:paraId="24933A96" w14:textId="6E83749D" w:rsidR="00F2229C" w:rsidRPr="00F87467" w:rsidRDefault="00F2229C"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In case of products produced in a third country, the </w:t>
      </w:r>
      <w:hyperlink r:id="rId117"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lays down also obligations for i</w:t>
      </w:r>
      <w:r w:rsidR="00340E29" w:rsidRPr="00F87467">
        <w:rPr>
          <w:rFonts w:ascii="Times New Roman" w:hAnsi="Times New Roman" w:cs="Times New Roman"/>
          <w:sz w:val="24"/>
          <w:szCs w:val="24"/>
        </w:rPr>
        <w:t>mporters</w:t>
      </w:r>
      <w:r w:rsidRPr="00F87467">
        <w:rPr>
          <w:rFonts w:ascii="Times New Roman" w:hAnsi="Times New Roman" w:cs="Times New Roman"/>
          <w:sz w:val="24"/>
          <w:szCs w:val="24"/>
        </w:rPr>
        <w:t xml:space="preserve">. </w:t>
      </w:r>
    </w:p>
    <w:p w14:paraId="2A7E0D42" w14:textId="4F43B4BE" w:rsidR="00F2229C" w:rsidRPr="00F87467" w:rsidRDefault="00F2229C" w:rsidP="00F87467">
      <w:pPr>
        <w:tabs>
          <w:tab w:val="left" w:pos="426"/>
        </w:tabs>
        <w:spacing w:before="60" w:after="60"/>
        <w:jc w:val="both"/>
        <w:rPr>
          <w:rFonts w:ascii="Times New Roman" w:hAnsi="Times New Roman" w:cs="Times New Roman"/>
          <w:sz w:val="24"/>
          <w:szCs w:val="24"/>
        </w:rPr>
      </w:pPr>
      <w:r w:rsidRPr="00F87467">
        <w:rPr>
          <w:rFonts w:ascii="Times New Roman" w:hAnsi="Times New Roman" w:cs="Times New Roman"/>
          <w:sz w:val="24"/>
          <w:szCs w:val="24"/>
        </w:rPr>
        <w:t>Importers</w:t>
      </w:r>
      <w:r w:rsidR="00340E29" w:rsidRPr="00F87467">
        <w:rPr>
          <w:rFonts w:ascii="Times New Roman" w:hAnsi="Times New Roman" w:cs="Times New Roman"/>
          <w:sz w:val="24"/>
          <w:szCs w:val="24"/>
        </w:rPr>
        <w:t xml:space="preserve"> can place on the market only compliant EU fertilising products. Therefore, the importer needs to ensure that</w:t>
      </w:r>
      <w:r w:rsidR="007D6563" w:rsidRPr="00F87467">
        <w:rPr>
          <w:rFonts w:ascii="Times New Roman" w:hAnsi="Times New Roman" w:cs="Times New Roman"/>
          <w:sz w:val="24"/>
          <w:szCs w:val="24"/>
        </w:rPr>
        <w:t xml:space="preserve"> the manufacturer</w:t>
      </w:r>
      <w:r w:rsidRPr="00F87467">
        <w:rPr>
          <w:rFonts w:ascii="Times New Roman" w:hAnsi="Times New Roman" w:cs="Times New Roman"/>
          <w:sz w:val="24"/>
          <w:szCs w:val="24"/>
        </w:rPr>
        <w:t>:</w:t>
      </w:r>
      <w:r w:rsidR="00340E29" w:rsidRPr="00F87467">
        <w:rPr>
          <w:rFonts w:ascii="Times New Roman" w:hAnsi="Times New Roman" w:cs="Times New Roman"/>
          <w:sz w:val="24"/>
          <w:szCs w:val="24"/>
        </w:rPr>
        <w:t xml:space="preserve"> </w:t>
      </w:r>
    </w:p>
    <w:p w14:paraId="620AA9CF" w14:textId="0E7DD312" w:rsidR="00F2229C" w:rsidRPr="00F87467" w:rsidRDefault="00340E29" w:rsidP="006E54DF">
      <w:pPr>
        <w:pStyle w:val="ListParagraph"/>
        <w:numPr>
          <w:ilvl w:val="0"/>
          <w:numId w:val="38"/>
        </w:numPr>
        <w:tabs>
          <w:tab w:val="left" w:pos="426"/>
        </w:tabs>
        <w:spacing w:before="60" w:after="60" w:line="276" w:lineRule="auto"/>
        <w:jc w:val="both"/>
        <w:rPr>
          <w:szCs w:val="24"/>
          <w:lang w:val="en-GB"/>
        </w:rPr>
      </w:pPr>
      <w:r w:rsidRPr="00F87467">
        <w:rPr>
          <w:szCs w:val="24"/>
          <w:lang w:val="en-GB"/>
        </w:rPr>
        <w:t xml:space="preserve">has carried out successfully the appropriate conformity assessment procedure (even if this implies the involvement of a notified body) </w:t>
      </w:r>
    </w:p>
    <w:p w14:paraId="62A72B8A" w14:textId="66152504" w:rsidR="00F2229C" w:rsidRPr="00F87467" w:rsidRDefault="00340E29" w:rsidP="006E54DF">
      <w:pPr>
        <w:pStyle w:val="ListParagraph"/>
        <w:numPr>
          <w:ilvl w:val="0"/>
          <w:numId w:val="38"/>
        </w:numPr>
        <w:tabs>
          <w:tab w:val="left" w:pos="426"/>
        </w:tabs>
        <w:spacing w:before="60" w:after="60" w:line="276" w:lineRule="auto"/>
        <w:jc w:val="both"/>
        <w:rPr>
          <w:szCs w:val="24"/>
          <w:lang w:val="en-GB"/>
        </w:rPr>
      </w:pPr>
      <w:r w:rsidRPr="00F87467">
        <w:rPr>
          <w:szCs w:val="24"/>
          <w:lang w:val="en-GB"/>
        </w:rPr>
        <w:t xml:space="preserve">has drawn up the technical documentation, affixed the CE marking, </w:t>
      </w:r>
    </w:p>
    <w:p w14:paraId="3109EECB" w14:textId="6288F0B8" w:rsidR="007D6563" w:rsidRPr="00F87467" w:rsidRDefault="007D6563" w:rsidP="006E54DF">
      <w:pPr>
        <w:pStyle w:val="ListParagraph"/>
        <w:numPr>
          <w:ilvl w:val="0"/>
          <w:numId w:val="38"/>
        </w:numPr>
        <w:tabs>
          <w:tab w:val="left" w:pos="426"/>
        </w:tabs>
        <w:spacing w:before="60" w:after="60" w:line="276" w:lineRule="auto"/>
        <w:jc w:val="both"/>
        <w:rPr>
          <w:szCs w:val="24"/>
          <w:lang w:val="en-GB"/>
        </w:rPr>
      </w:pPr>
      <w:r w:rsidRPr="00F87467">
        <w:rPr>
          <w:szCs w:val="24"/>
          <w:lang w:val="en-GB"/>
        </w:rPr>
        <w:t xml:space="preserve">has </w:t>
      </w:r>
      <w:r w:rsidR="00340E29" w:rsidRPr="00F87467">
        <w:rPr>
          <w:szCs w:val="24"/>
          <w:lang w:val="en-GB"/>
        </w:rPr>
        <w:t>fulfilled his</w:t>
      </w:r>
      <w:r w:rsidR="00F2229C" w:rsidRPr="00F87467">
        <w:rPr>
          <w:szCs w:val="24"/>
          <w:lang w:val="en-GB"/>
        </w:rPr>
        <w:t>/her</w:t>
      </w:r>
      <w:r w:rsidR="00340E29" w:rsidRPr="00F87467">
        <w:rPr>
          <w:szCs w:val="24"/>
          <w:lang w:val="en-GB"/>
        </w:rPr>
        <w:t xml:space="preserve"> traceability obligations and </w:t>
      </w:r>
    </w:p>
    <w:p w14:paraId="5FEE6EDA" w14:textId="4DFD4BA4" w:rsidR="00AC4B41" w:rsidRPr="00F87467" w:rsidRDefault="00340E29" w:rsidP="006E54DF">
      <w:pPr>
        <w:pStyle w:val="ListParagraph"/>
        <w:numPr>
          <w:ilvl w:val="0"/>
          <w:numId w:val="38"/>
        </w:numPr>
        <w:tabs>
          <w:tab w:val="left" w:pos="426"/>
        </w:tabs>
        <w:spacing w:before="60" w:after="60" w:line="276" w:lineRule="auto"/>
        <w:jc w:val="both"/>
        <w:rPr>
          <w:szCs w:val="24"/>
          <w:lang w:val="en-GB"/>
        </w:rPr>
      </w:pPr>
      <w:r w:rsidRPr="00F87467">
        <w:rPr>
          <w:szCs w:val="24"/>
          <w:lang w:val="en-GB"/>
        </w:rPr>
        <w:t xml:space="preserve">accompanied, where relevant, the product by the instructions and safety information in a language easily understood by end-users, as determined by the </w:t>
      </w:r>
      <w:r w:rsidR="00AC4B41" w:rsidRPr="00F87467">
        <w:rPr>
          <w:szCs w:val="24"/>
          <w:lang w:val="en-GB"/>
        </w:rPr>
        <w:t xml:space="preserve">EU country were the product is marketed. </w:t>
      </w:r>
    </w:p>
    <w:p w14:paraId="11E7A425" w14:textId="2CACDBC0" w:rsidR="00945226" w:rsidRPr="00F87467" w:rsidRDefault="00945226" w:rsidP="00F87467">
      <w:pPr>
        <w:tabs>
          <w:tab w:val="left" w:pos="426"/>
        </w:tabs>
        <w:spacing w:before="60" w:after="60"/>
        <w:jc w:val="both"/>
        <w:rPr>
          <w:rFonts w:ascii="Times New Roman" w:hAnsi="Times New Roman" w:cs="Times New Roman"/>
          <w:color w:val="FF0000"/>
          <w:sz w:val="24"/>
          <w:szCs w:val="24"/>
          <w:highlight w:val="yellow"/>
        </w:rPr>
      </w:pPr>
    </w:p>
    <w:p w14:paraId="16C43E5B" w14:textId="0FA8A2CC" w:rsidR="00945226" w:rsidRPr="00F87467" w:rsidRDefault="00945226" w:rsidP="00F87467">
      <w:pPr>
        <w:pStyle w:val="Heading2"/>
        <w:spacing w:before="60" w:after="60" w:line="276" w:lineRule="auto"/>
      </w:pPr>
      <w:bookmarkStart w:id="66" w:name="_Toc54555283"/>
      <w:bookmarkStart w:id="67" w:name="_Toc59185427"/>
      <w:bookmarkEnd w:id="66"/>
      <w:r w:rsidRPr="00F87467">
        <w:rPr>
          <w:rFonts w:eastAsiaTheme="minorHAnsi"/>
          <w:lang w:eastAsia="en-US"/>
        </w:rPr>
        <w:t>What is expected by ‘adequate analysis and assessment of the risk(s) to be included in the technical documentation’?</w:t>
      </w:r>
      <w:bookmarkEnd w:id="67"/>
      <w:r w:rsidRPr="00F87467">
        <w:rPr>
          <w:rFonts w:eastAsiaTheme="minorHAnsi"/>
          <w:lang w:eastAsia="en-US"/>
        </w:rPr>
        <w:t xml:space="preserve"> </w:t>
      </w:r>
    </w:p>
    <w:p w14:paraId="0198D50C" w14:textId="6CF6FFC8" w:rsidR="00945226" w:rsidRPr="00F87467" w:rsidRDefault="00945226" w:rsidP="00F87467">
      <w:pPr>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Broadly speaking, the risks of fertilising products are covered by the </w:t>
      </w:r>
      <w:hyperlink r:id="rId118"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in particular Annexes I and II. Therefore, in principle </w:t>
      </w:r>
      <w:r w:rsidR="005F0435" w:rsidRPr="005B236B">
        <w:rPr>
          <w:rFonts w:ascii="Times New Roman" w:hAnsi="Times New Roman" w:cs="Times New Roman"/>
          <w:sz w:val="24"/>
          <w:szCs w:val="24"/>
        </w:rPr>
        <w:t xml:space="preserve">the requirements of the </w:t>
      </w:r>
      <w:hyperlink r:id="rId119" w:history="1">
        <w:r w:rsidR="005F0435" w:rsidRPr="005B236B">
          <w:rPr>
            <w:rStyle w:val="Hyperlink"/>
            <w:rFonts w:ascii="Times New Roman" w:hAnsi="Times New Roman" w:cs="Times New Roman"/>
            <w:sz w:val="24"/>
            <w:szCs w:val="24"/>
          </w:rPr>
          <w:t>FPR</w:t>
        </w:r>
      </w:hyperlink>
      <w:r w:rsidR="005F0435" w:rsidRPr="005B236B">
        <w:rPr>
          <w:rFonts w:ascii="Times New Roman" w:hAnsi="Times New Roman" w:cs="Times New Roman"/>
          <w:sz w:val="24"/>
          <w:szCs w:val="24"/>
        </w:rPr>
        <w:t xml:space="preserve"> applicable to the product as well as </w:t>
      </w:r>
      <w:r w:rsidRPr="005B236B">
        <w:rPr>
          <w:rFonts w:ascii="Times New Roman" w:hAnsi="Times New Roman" w:cs="Times New Roman"/>
          <w:sz w:val="24"/>
          <w:szCs w:val="24"/>
        </w:rPr>
        <w:t>the product’s conformity with the relevant requirements in the Regulation</w:t>
      </w:r>
      <w:r w:rsidR="005F0435" w:rsidRPr="005B236B">
        <w:rPr>
          <w:rFonts w:ascii="Times New Roman" w:hAnsi="Times New Roman" w:cs="Times New Roman"/>
          <w:sz w:val="24"/>
          <w:szCs w:val="24"/>
        </w:rPr>
        <w:t xml:space="preserve"> must be documented</w:t>
      </w:r>
      <w:r w:rsidRPr="005B236B">
        <w:rPr>
          <w:rFonts w:ascii="Times New Roman" w:hAnsi="Times New Roman" w:cs="Times New Roman"/>
          <w:sz w:val="24"/>
          <w:szCs w:val="24"/>
        </w:rPr>
        <w:t>.</w:t>
      </w:r>
      <w:r w:rsidRPr="00F87467">
        <w:rPr>
          <w:rFonts w:ascii="Times New Roman" w:hAnsi="Times New Roman" w:cs="Times New Roman"/>
          <w:sz w:val="24"/>
          <w:szCs w:val="24"/>
        </w:rPr>
        <w:t xml:space="preserve"> However, it is also recognised in Article 4(2) that there might be aspects not covered by Annexes I and II. Risks in a specific field are usually known by diligent manufacturers operating in that field, and the technical documentation should identify them and document how they have been addressed. </w:t>
      </w:r>
    </w:p>
    <w:p w14:paraId="5F31D25F" w14:textId="77777777" w:rsidR="00945226" w:rsidRPr="00F87467" w:rsidRDefault="00945226" w:rsidP="00F87467">
      <w:pPr>
        <w:spacing w:before="60" w:after="60"/>
        <w:jc w:val="both"/>
        <w:rPr>
          <w:rFonts w:ascii="Times New Roman" w:hAnsi="Times New Roman" w:cs="Times New Roman"/>
          <w:color w:val="FF0000"/>
          <w:sz w:val="24"/>
          <w:szCs w:val="24"/>
        </w:rPr>
      </w:pPr>
    </w:p>
    <w:p w14:paraId="15607C61" w14:textId="77777777" w:rsidR="00945226" w:rsidRPr="00F87467" w:rsidRDefault="00945226" w:rsidP="00F87467">
      <w:pPr>
        <w:pStyle w:val="Heading2"/>
        <w:spacing w:before="60" w:after="60" w:line="276" w:lineRule="auto"/>
      </w:pPr>
      <w:bookmarkStart w:id="68" w:name="_Toc59185428"/>
      <w:r w:rsidRPr="00F87467">
        <w:t>Does technical documentation have to be physically available for the inspection, or can it be accessible through digital means?</w:t>
      </w:r>
      <w:bookmarkEnd w:id="68"/>
      <w:r w:rsidRPr="00F87467">
        <w:t xml:space="preserve"> </w:t>
      </w:r>
    </w:p>
    <w:p w14:paraId="31904977" w14:textId="5C99DF03" w:rsidR="00945226" w:rsidRPr="00F87467" w:rsidRDefault="00945226" w:rsidP="00F87467">
      <w:pPr>
        <w:spacing w:before="60" w:after="60"/>
        <w:jc w:val="both"/>
        <w:rPr>
          <w:rFonts w:ascii="Times New Roman" w:hAnsi="Times New Roman" w:cs="Times New Roman"/>
          <w:sz w:val="24"/>
          <w:szCs w:val="24"/>
        </w:rPr>
      </w:pPr>
      <w:r w:rsidRPr="00F87467">
        <w:rPr>
          <w:rFonts w:ascii="Times New Roman" w:hAnsi="Times New Roman" w:cs="Times New Roman"/>
          <w:sz w:val="24"/>
          <w:szCs w:val="24"/>
        </w:rPr>
        <w:t>The technical documentation can be kept and sent to market surveillance authorities either in paper or electronic form.</w:t>
      </w:r>
      <w:r w:rsidRPr="00F87467">
        <w:rPr>
          <w:rStyle w:val="FootnoteReference"/>
          <w:rFonts w:ascii="Times New Roman" w:hAnsi="Times New Roman" w:cs="Times New Roman"/>
          <w:sz w:val="24"/>
          <w:szCs w:val="24"/>
        </w:rPr>
        <w:footnoteReference w:id="8"/>
      </w:r>
    </w:p>
    <w:p w14:paraId="160D53D4" w14:textId="77777777" w:rsidR="00AC4B41" w:rsidRPr="00F87467" w:rsidRDefault="00AC4B41" w:rsidP="00F87467">
      <w:pPr>
        <w:spacing w:before="60" w:after="60"/>
        <w:jc w:val="both"/>
        <w:rPr>
          <w:rFonts w:ascii="Times New Roman" w:hAnsi="Times New Roman" w:cs="Times New Roman"/>
          <w:sz w:val="24"/>
          <w:szCs w:val="24"/>
        </w:rPr>
      </w:pPr>
    </w:p>
    <w:p w14:paraId="5A4ADDCF" w14:textId="2AEAD4E4" w:rsidR="00340E29" w:rsidRPr="00F87467" w:rsidRDefault="00340E29" w:rsidP="00F87467">
      <w:pPr>
        <w:pStyle w:val="Heading2"/>
        <w:spacing w:before="60" w:after="60" w:line="276" w:lineRule="auto"/>
      </w:pPr>
      <w:bookmarkStart w:id="69" w:name="_Toc59185429"/>
      <w:r w:rsidRPr="00F87467">
        <w:t xml:space="preserve">What does </w:t>
      </w:r>
      <w:r w:rsidR="00CE0935">
        <w:t>‘</w:t>
      </w:r>
      <w:r w:rsidR="00CF6058" w:rsidRPr="00F87467">
        <w:t>Modules B + C</w:t>
      </w:r>
      <w:r w:rsidR="00CE0935">
        <w:t xml:space="preserve">’ </w:t>
      </w:r>
      <w:r w:rsidRPr="00F87467">
        <w:t>mean?</w:t>
      </w:r>
      <w:bookmarkEnd w:id="69"/>
    </w:p>
    <w:p w14:paraId="73EB3238" w14:textId="7A46FBD4" w:rsidR="00340E29" w:rsidRDefault="00DA1D6A" w:rsidP="00F87467">
      <w:pPr>
        <w:spacing w:before="60" w:after="60"/>
        <w:jc w:val="both"/>
        <w:rPr>
          <w:rFonts w:ascii="Times New Roman" w:hAnsi="Times New Roman" w:cs="Times New Roman"/>
          <w:sz w:val="24"/>
          <w:szCs w:val="24"/>
        </w:rPr>
      </w:pPr>
      <w:r w:rsidRPr="00F87467">
        <w:rPr>
          <w:rFonts w:ascii="Times New Roman" w:hAnsi="Times New Roman" w:cs="Times New Roman"/>
          <w:sz w:val="24"/>
          <w:szCs w:val="24"/>
        </w:rPr>
        <w:t>The conformity assessment is done broadly speaking in two steps. Firstly,</w:t>
      </w:r>
      <w:r w:rsidR="00340E29" w:rsidRPr="00F87467">
        <w:rPr>
          <w:rFonts w:ascii="Times New Roman" w:hAnsi="Times New Roman" w:cs="Times New Roman"/>
          <w:sz w:val="24"/>
          <w:szCs w:val="24"/>
        </w:rPr>
        <w:t xml:space="preserve"> the conformity of</w:t>
      </w:r>
      <w:r w:rsidRPr="00F87467">
        <w:rPr>
          <w:rFonts w:ascii="Times New Roman" w:hAnsi="Times New Roman" w:cs="Times New Roman"/>
          <w:sz w:val="24"/>
          <w:szCs w:val="24"/>
        </w:rPr>
        <w:t xml:space="preserve"> the</w:t>
      </w:r>
      <w:r w:rsidR="00340E29" w:rsidRPr="00F87467">
        <w:rPr>
          <w:rFonts w:ascii="Times New Roman" w:hAnsi="Times New Roman" w:cs="Times New Roman"/>
          <w:sz w:val="24"/>
          <w:szCs w:val="24"/>
        </w:rPr>
        <w:t xml:space="preserve"> </w:t>
      </w:r>
      <w:r w:rsidRPr="00F87467">
        <w:rPr>
          <w:rFonts w:ascii="Times New Roman" w:hAnsi="Times New Roman" w:cs="Times New Roman"/>
          <w:sz w:val="24"/>
          <w:szCs w:val="24"/>
        </w:rPr>
        <w:t xml:space="preserve">design proposed by the manufacturer is </w:t>
      </w:r>
      <w:r w:rsidR="00340E29" w:rsidRPr="00F87467">
        <w:rPr>
          <w:rFonts w:ascii="Times New Roman" w:hAnsi="Times New Roman" w:cs="Times New Roman"/>
          <w:sz w:val="24"/>
          <w:szCs w:val="24"/>
        </w:rPr>
        <w:t xml:space="preserve">assessed by a notified body under Module B and </w:t>
      </w:r>
      <w:r w:rsidRPr="00F87467">
        <w:rPr>
          <w:rFonts w:ascii="Times New Roman" w:hAnsi="Times New Roman" w:cs="Times New Roman"/>
          <w:sz w:val="24"/>
          <w:szCs w:val="24"/>
        </w:rPr>
        <w:t xml:space="preserve">in case the assessment is positive, </w:t>
      </w:r>
      <w:r w:rsidR="00340E29" w:rsidRPr="00F87467">
        <w:rPr>
          <w:rFonts w:ascii="Times New Roman" w:hAnsi="Times New Roman" w:cs="Times New Roman"/>
          <w:sz w:val="24"/>
          <w:szCs w:val="24"/>
        </w:rPr>
        <w:t>the notified body issue</w:t>
      </w:r>
      <w:r w:rsidRPr="00F87467">
        <w:rPr>
          <w:rFonts w:ascii="Times New Roman" w:hAnsi="Times New Roman" w:cs="Times New Roman"/>
          <w:sz w:val="24"/>
          <w:szCs w:val="24"/>
        </w:rPr>
        <w:t>s</w:t>
      </w:r>
      <w:r w:rsidR="00340E29" w:rsidRPr="00F87467">
        <w:rPr>
          <w:rFonts w:ascii="Times New Roman" w:hAnsi="Times New Roman" w:cs="Times New Roman"/>
          <w:sz w:val="24"/>
          <w:szCs w:val="24"/>
        </w:rPr>
        <w:t xml:space="preserve"> a</w:t>
      </w:r>
      <w:r w:rsidRPr="00F87467">
        <w:rPr>
          <w:rFonts w:ascii="Times New Roman" w:hAnsi="Times New Roman" w:cs="Times New Roman"/>
          <w:sz w:val="24"/>
          <w:szCs w:val="24"/>
        </w:rPr>
        <w:t>n</w:t>
      </w:r>
      <w:r w:rsidR="00340E29" w:rsidRPr="00F87467">
        <w:rPr>
          <w:rFonts w:ascii="Times New Roman" w:hAnsi="Times New Roman" w:cs="Times New Roman"/>
          <w:sz w:val="24"/>
          <w:szCs w:val="24"/>
        </w:rPr>
        <w:t xml:space="preserve"> EU-type examination certificate. </w:t>
      </w:r>
      <w:r w:rsidRPr="00F87467">
        <w:rPr>
          <w:rFonts w:ascii="Times New Roman" w:hAnsi="Times New Roman" w:cs="Times New Roman"/>
          <w:sz w:val="24"/>
          <w:szCs w:val="24"/>
        </w:rPr>
        <w:t>Secondly, t</w:t>
      </w:r>
      <w:r w:rsidR="00340E29" w:rsidRPr="00F87467">
        <w:rPr>
          <w:rFonts w:ascii="Times New Roman" w:hAnsi="Times New Roman" w:cs="Times New Roman"/>
          <w:sz w:val="24"/>
          <w:szCs w:val="24"/>
        </w:rPr>
        <w:t xml:space="preserve">he </w:t>
      </w:r>
      <w:r w:rsidRPr="00F87467">
        <w:rPr>
          <w:rFonts w:ascii="Times New Roman" w:hAnsi="Times New Roman" w:cs="Times New Roman"/>
          <w:sz w:val="24"/>
          <w:szCs w:val="24"/>
        </w:rPr>
        <w:t xml:space="preserve">manufacturer assesses the </w:t>
      </w:r>
      <w:r w:rsidR="00340E29" w:rsidRPr="00F87467">
        <w:rPr>
          <w:rFonts w:ascii="Times New Roman" w:hAnsi="Times New Roman" w:cs="Times New Roman"/>
          <w:sz w:val="24"/>
          <w:szCs w:val="24"/>
        </w:rPr>
        <w:t xml:space="preserve">conformity of </w:t>
      </w:r>
      <w:r w:rsidRPr="00F87467">
        <w:rPr>
          <w:rFonts w:ascii="Times New Roman" w:hAnsi="Times New Roman" w:cs="Times New Roman"/>
          <w:sz w:val="24"/>
          <w:szCs w:val="24"/>
        </w:rPr>
        <w:t xml:space="preserve">the </w:t>
      </w:r>
      <w:r w:rsidR="00340E29" w:rsidRPr="00F87467">
        <w:rPr>
          <w:rFonts w:ascii="Times New Roman" w:hAnsi="Times New Roman" w:cs="Times New Roman"/>
          <w:sz w:val="24"/>
          <w:szCs w:val="24"/>
        </w:rPr>
        <w:t xml:space="preserve">EU fertilising products </w:t>
      </w:r>
      <w:r w:rsidRPr="00F87467">
        <w:rPr>
          <w:rFonts w:ascii="Times New Roman" w:hAnsi="Times New Roman" w:cs="Times New Roman"/>
          <w:sz w:val="24"/>
          <w:szCs w:val="24"/>
        </w:rPr>
        <w:t xml:space="preserve">to </w:t>
      </w:r>
      <w:r w:rsidR="00340E29" w:rsidRPr="00F87467">
        <w:rPr>
          <w:rFonts w:ascii="Times New Roman" w:hAnsi="Times New Roman" w:cs="Times New Roman"/>
          <w:sz w:val="24"/>
          <w:szCs w:val="24"/>
        </w:rPr>
        <w:t xml:space="preserve">the EU-type certificate </w:t>
      </w:r>
      <w:r w:rsidRPr="00F87467">
        <w:rPr>
          <w:rFonts w:ascii="Times New Roman" w:hAnsi="Times New Roman" w:cs="Times New Roman"/>
          <w:sz w:val="24"/>
          <w:szCs w:val="24"/>
        </w:rPr>
        <w:t xml:space="preserve">previously </w:t>
      </w:r>
      <w:r w:rsidR="00340E29" w:rsidRPr="00F87467">
        <w:rPr>
          <w:rFonts w:ascii="Times New Roman" w:hAnsi="Times New Roman" w:cs="Times New Roman"/>
          <w:sz w:val="24"/>
          <w:szCs w:val="24"/>
        </w:rPr>
        <w:t xml:space="preserve">issued </w:t>
      </w:r>
      <w:r w:rsidRPr="00F87467">
        <w:rPr>
          <w:rFonts w:ascii="Times New Roman" w:hAnsi="Times New Roman" w:cs="Times New Roman"/>
          <w:sz w:val="24"/>
          <w:szCs w:val="24"/>
        </w:rPr>
        <w:t>(</w:t>
      </w:r>
      <w:r w:rsidR="00340E29" w:rsidRPr="00F87467">
        <w:rPr>
          <w:rFonts w:ascii="Times New Roman" w:hAnsi="Times New Roman" w:cs="Times New Roman"/>
          <w:sz w:val="24"/>
          <w:szCs w:val="24"/>
        </w:rPr>
        <w:t>Module C</w:t>
      </w:r>
      <w:r w:rsidRPr="00F87467">
        <w:rPr>
          <w:rFonts w:ascii="Times New Roman" w:hAnsi="Times New Roman" w:cs="Times New Roman"/>
          <w:sz w:val="24"/>
          <w:szCs w:val="24"/>
        </w:rPr>
        <w:t>).</w:t>
      </w:r>
      <w:r w:rsidR="00340E29" w:rsidRPr="00F87467">
        <w:rPr>
          <w:rFonts w:ascii="Times New Roman" w:hAnsi="Times New Roman" w:cs="Times New Roman"/>
          <w:sz w:val="24"/>
          <w:szCs w:val="24"/>
        </w:rPr>
        <w:t xml:space="preserve"> The manufacturer </w:t>
      </w:r>
      <w:r w:rsidR="00E818A5" w:rsidRPr="00F87467">
        <w:rPr>
          <w:rFonts w:ascii="Times New Roman" w:hAnsi="Times New Roman" w:cs="Times New Roman"/>
          <w:sz w:val="24"/>
          <w:szCs w:val="24"/>
        </w:rPr>
        <w:t xml:space="preserve">will </w:t>
      </w:r>
      <w:r w:rsidR="00340E29" w:rsidRPr="00F87467">
        <w:rPr>
          <w:rFonts w:ascii="Times New Roman" w:hAnsi="Times New Roman" w:cs="Times New Roman"/>
          <w:sz w:val="24"/>
          <w:szCs w:val="24"/>
        </w:rPr>
        <w:t xml:space="preserve">then refer to the EU-type </w:t>
      </w:r>
      <w:r w:rsidRPr="00F87467">
        <w:rPr>
          <w:rFonts w:ascii="Times New Roman" w:hAnsi="Times New Roman" w:cs="Times New Roman"/>
          <w:sz w:val="24"/>
          <w:szCs w:val="24"/>
        </w:rPr>
        <w:t xml:space="preserve">certificate </w:t>
      </w:r>
      <w:r w:rsidR="00340E29" w:rsidRPr="00F87467">
        <w:rPr>
          <w:rFonts w:ascii="Times New Roman" w:hAnsi="Times New Roman" w:cs="Times New Roman"/>
          <w:sz w:val="24"/>
          <w:szCs w:val="24"/>
        </w:rPr>
        <w:t>in the declaration of conformity for the EU fertilising product.</w:t>
      </w:r>
    </w:p>
    <w:p w14:paraId="1037F233" w14:textId="77777777" w:rsidR="00CE0935" w:rsidRPr="00F87467" w:rsidRDefault="00CE0935" w:rsidP="00F87467">
      <w:pPr>
        <w:spacing w:before="60" w:after="60"/>
        <w:jc w:val="both"/>
        <w:rPr>
          <w:rFonts w:ascii="Times New Roman" w:hAnsi="Times New Roman" w:cs="Times New Roman"/>
          <w:sz w:val="24"/>
          <w:szCs w:val="24"/>
        </w:rPr>
      </w:pPr>
    </w:p>
    <w:p w14:paraId="4D5E443E" w14:textId="6DC6AED0" w:rsidR="006E041C" w:rsidRPr="00F87467" w:rsidRDefault="00CE0935" w:rsidP="00F87467">
      <w:pPr>
        <w:pStyle w:val="Heading2"/>
        <w:spacing w:before="60" w:after="60" w:line="276" w:lineRule="auto"/>
        <w:rPr>
          <w:rFonts w:eastAsiaTheme="minorHAnsi"/>
        </w:rPr>
      </w:pPr>
      <w:r>
        <w:rPr>
          <w:rFonts w:eastAsiaTheme="minorHAnsi"/>
        </w:rPr>
        <w:lastRenderedPageBreak/>
        <w:t xml:space="preserve"> </w:t>
      </w:r>
      <w:bookmarkStart w:id="70" w:name="_Toc59185430"/>
      <w:r w:rsidR="006E041C" w:rsidRPr="00F87467">
        <w:rPr>
          <w:rFonts w:eastAsiaTheme="minorHAnsi"/>
        </w:rPr>
        <w:t>What is an EU-type certificate issued by a notified body and what is its expiry date</w:t>
      </w:r>
      <w:r>
        <w:rPr>
          <w:rFonts w:eastAsiaTheme="minorHAnsi"/>
        </w:rPr>
        <w:t>?</w:t>
      </w:r>
      <w:bookmarkEnd w:id="70"/>
    </w:p>
    <w:p w14:paraId="346CE028" w14:textId="3E3FF481" w:rsidR="006E041C" w:rsidRPr="00F87467" w:rsidRDefault="006E041C" w:rsidP="00F87467">
      <w:pPr>
        <w:autoSpaceDE w:val="0"/>
        <w:autoSpaceDN w:val="0"/>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The EU-type examination is part of a conformity assessment procedure in which a notified body examines, verifies and attests that the technical design (type) of an EU fertilising product meets the requirements of the </w:t>
      </w:r>
      <w:hyperlink r:id="rId120"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Where the type meets the requirements that apply to the EU fertilising product concerned, the notified body issues an EU-type examination certificate to the manufacturer. </w:t>
      </w:r>
    </w:p>
    <w:p w14:paraId="4FE02C02" w14:textId="0180B30E" w:rsidR="006E041C" w:rsidRPr="00F87467" w:rsidRDefault="006E041C" w:rsidP="00F87467">
      <w:pPr>
        <w:autoSpaceDE w:val="0"/>
        <w:autoSpaceDN w:val="0"/>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In the </w:t>
      </w:r>
      <w:hyperlink r:id="rId121"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xml:space="preserve">, there is no specific provision regulating the validity period of the EU-type examination certificates. Nevertheless, it is in general considered best practice to limit the validity of EU-type examination certificates to 5-10 years. This will ensure at least a minimum monitoring/reassessment of approved types. </w:t>
      </w:r>
    </w:p>
    <w:p w14:paraId="6CFDB280" w14:textId="092C12D7" w:rsidR="006E041C" w:rsidRPr="00F87467" w:rsidRDefault="006E041C" w:rsidP="00F87467">
      <w:pPr>
        <w:spacing w:before="60" w:after="60"/>
        <w:jc w:val="both"/>
        <w:rPr>
          <w:rFonts w:ascii="Times New Roman" w:hAnsi="Times New Roman" w:cs="Times New Roman"/>
          <w:sz w:val="24"/>
          <w:szCs w:val="24"/>
        </w:rPr>
      </w:pPr>
      <w:r w:rsidRPr="00F87467">
        <w:rPr>
          <w:rFonts w:ascii="Times New Roman" w:hAnsi="Times New Roman" w:cs="Times New Roman"/>
          <w:sz w:val="24"/>
          <w:szCs w:val="24"/>
        </w:rPr>
        <w:t xml:space="preserve">Further to the above, if there is such change in the state of the art that affects the approved type’s compliance to the requirements of the </w:t>
      </w:r>
      <w:hyperlink r:id="rId122" w:history="1">
        <w:r w:rsidRPr="00D53265">
          <w:rPr>
            <w:rStyle w:val="Hyperlink"/>
            <w:rFonts w:ascii="Times New Roman" w:hAnsi="Times New Roman" w:cs="Times New Roman"/>
            <w:sz w:val="24"/>
            <w:szCs w:val="24"/>
          </w:rPr>
          <w:t>FPR</w:t>
        </w:r>
      </w:hyperlink>
      <w:r w:rsidRPr="00F87467">
        <w:rPr>
          <w:rFonts w:ascii="Times New Roman" w:hAnsi="Times New Roman" w:cs="Times New Roman"/>
          <w:sz w:val="24"/>
          <w:szCs w:val="24"/>
        </w:rPr>
        <w:t>, or if the manufacturer makes modifications to the approved type, the certificate has to be revised.</w:t>
      </w:r>
    </w:p>
    <w:p w14:paraId="5042D815" w14:textId="77777777" w:rsidR="00340E29" w:rsidRPr="00F87467" w:rsidRDefault="00340E29" w:rsidP="00F87467">
      <w:pPr>
        <w:spacing w:before="60" w:after="60"/>
        <w:jc w:val="both"/>
        <w:rPr>
          <w:rFonts w:ascii="Times New Roman" w:hAnsi="Times New Roman" w:cs="Times New Roman"/>
          <w:sz w:val="24"/>
          <w:szCs w:val="24"/>
        </w:rPr>
      </w:pPr>
    </w:p>
    <w:p w14:paraId="45F18F1F" w14:textId="33933A4B" w:rsidR="00C261E2" w:rsidRPr="00F87467" w:rsidRDefault="00C261E2" w:rsidP="00F87467">
      <w:pPr>
        <w:pStyle w:val="Heading2"/>
        <w:spacing w:before="60" w:after="60" w:line="276" w:lineRule="auto"/>
      </w:pPr>
      <w:bookmarkStart w:id="71" w:name="_Toc59185431"/>
      <w:r w:rsidRPr="00F87467">
        <w:t xml:space="preserve">For ammonium nitrate fertilisers of high nitrogen content, </w:t>
      </w:r>
      <w:r w:rsidR="007C1D64">
        <w:t>does</w:t>
      </w:r>
      <w:r w:rsidR="007C1D64" w:rsidRPr="00F87467">
        <w:t xml:space="preserve"> </w:t>
      </w:r>
      <w:r w:rsidRPr="00F87467">
        <w:t>the manufacturer or the notified body perform the detonation resistance test and the oil retention test?</w:t>
      </w:r>
      <w:bookmarkEnd w:id="71"/>
    </w:p>
    <w:p w14:paraId="08B005DF" w14:textId="45ADCDB7" w:rsidR="00C261E2" w:rsidRPr="00F87467" w:rsidRDefault="00C261E2" w:rsidP="00F87467">
      <w:pPr>
        <w:shd w:val="clear" w:color="auto" w:fill="FFFFFF"/>
        <w:spacing w:before="60" w:after="60"/>
        <w:jc w:val="both"/>
        <w:rPr>
          <w:rFonts w:ascii="Times New Roman" w:eastAsia="Times New Roman" w:hAnsi="Times New Roman" w:cs="Times New Roman"/>
          <w:sz w:val="24"/>
          <w:szCs w:val="24"/>
          <w:lang w:eastAsia="de-DE"/>
        </w:rPr>
      </w:pPr>
      <w:r w:rsidRPr="00F87467">
        <w:rPr>
          <w:rFonts w:ascii="Times New Roman" w:eastAsia="Times New Roman" w:hAnsi="Times New Roman" w:cs="Times New Roman"/>
          <w:sz w:val="24"/>
          <w:szCs w:val="24"/>
          <w:lang w:eastAsia="de-DE"/>
        </w:rPr>
        <w:t xml:space="preserve">In order to ensure compliance, manufacturers of ammonium nitrate fertilisers of high nitrogen content </w:t>
      </w:r>
      <w:r w:rsidR="002D4641" w:rsidRPr="00F87467">
        <w:rPr>
          <w:rFonts w:ascii="Times New Roman" w:eastAsia="Times New Roman" w:hAnsi="Times New Roman" w:cs="Times New Roman"/>
          <w:sz w:val="24"/>
          <w:szCs w:val="24"/>
          <w:lang w:eastAsia="de-DE"/>
        </w:rPr>
        <w:t xml:space="preserve">must </w:t>
      </w:r>
      <w:r w:rsidRPr="00F87467">
        <w:rPr>
          <w:rFonts w:ascii="Times New Roman" w:eastAsia="Times New Roman" w:hAnsi="Times New Roman" w:cs="Times New Roman"/>
          <w:sz w:val="24"/>
          <w:szCs w:val="24"/>
          <w:lang w:eastAsia="de-DE"/>
        </w:rPr>
        <w:t xml:space="preserve">follow the conformity assessment procedure described in Module A1 of Annex IV.  </w:t>
      </w:r>
      <w:r w:rsidR="00CD7517" w:rsidRPr="00F87467">
        <w:rPr>
          <w:rFonts w:ascii="Times New Roman" w:eastAsia="Times New Roman" w:hAnsi="Times New Roman" w:cs="Times New Roman"/>
          <w:sz w:val="24"/>
          <w:szCs w:val="24"/>
          <w:lang w:eastAsia="de-DE"/>
        </w:rPr>
        <w:t xml:space="preserve">The </w:t>
      </w:r>
      <w:hyperlink r:id="rId123" w:history="1">
        <w:r w:rsidR="00CD7517" w:rsidRPr="00D53265">
          <w:rPr>
            <w:rStyle w:val="Hyperlink"/>
            <w:rFonts w:ascii="Times New Roman" w:eastAsia="Times New Roman" w:hAnsi="Times New Roman" w:cs="Times New Roman"/>
            <w:sz w:val="24"/>
            <w:szCs w:val="24"/>
            <w:lang w:eastAsia="de-DE"/>
          </w:rPr>
          <w:t>FPR</w:t>
        </w:r>
      </w:hyperlink>
      <w:r w:rsidR="00CD7517" w:rsidRPr="00F87467">
        <w:rPr>
          <w:rFonts w:ascii="Times New Roman" w:eastAsia="Times New Roman" w:hAnsi="Times New Roman" w:cs="Times New Roman"/>
          <w:sz w:val="24"/>
          <w:szCs w:val="24"/>
          <w:lang w:eastAsia="de-DE"/>
        </w:rPr>
        <w:t xml:space="preserve"> </w:t>
      </w:r>
      <w:r w:rsidR="00333F51" w:rsidRPr="00F87467">
        <w:rPr>
          <w:rFonts w:ascii="Times New Roman" w:eastAsia="Times New Roman" w:hAnsi="Times New Roman" w:cs="Times New Roman"/>
          <w:sz w:val="24"/>
          <w:szCs w:val="24"/>
          <w:lang w:eastAsia="de-DE"/>
        </w:rPr>
        <w:t xml:space="preserve">requires </w:t>
      </w:r>
      <w:r w:rsidRPr="00F87467">
        <w:rPr>
          <w:rFonts w:ascii="Times New Roman" w:eastAsia="Times New Roman" w:hAnsi="Times New Roman" w:cs="Times New Roman"/>
          <w:sz w:val="24"/>
          <w:szCs w:val="24"/>
          <w:lang w:eastAsia="de-DE"/>
        </w:rPr>
        <w:t xml:space="preserve">that the thermal cycles and tests, namely the detonation resistance test and the oil retention test, </w:t>
      </w:r>
      <w:r w:rsidR="00CD7517" w:rsidRPr="00F87467">
        <w:rPr>
          <w:rFonts w:ascii="Times New Roman" w:eastAsia="Times New Roman" w:hAnsi="Times New Roman" w:cs="Times New Roman"/>
          <w:sz w:val="24"/>
          <w:szCs w:val="24"/>
          <w:lang w:eastAsia="de-DE"/>
        </w:rPr>
        <w:t xml:space="preserve">are </w:t>
      </w:r>
      <w:r w:rsidRPr="00F87467">
        <w:rPr>
          <w:rFonts w:ascii="Times New Roman" w:eastAsia="Times New Roman" w:hAnsi="Times New Roman" w:cs="Times New Roman"/>
          <w:sz w:val="24"/>
          <w:szCs w:val="24"/>
          <w:lang w:eastAsia="de-DE"/>
        </w:rPr>
        <w:t xml:space="preserve">carried out under the responsibility of a notified body chosen by the manufacturer. </w:t>
      </w:r>
      <w:r w:rsidR="006D5742" w:rsidRPr="00F87467">
        <w:rPr>
          <w:rFonts w:ascii="Times New Roman" w:eastAsia="Times New Roman" w:hAnsi="Times New Roman" w:cs="Times New Roman"/>
          <w:sz w:val="24"/>
          <w:szCs w:val="24"/>
          <w:lang w:eastAsia="de-DE"/>
        </w:rPr>
        <w:t xml:space="preserve">Therefore, the tests have to </w:t>
      </w:r>
      <w:r w:rsidR="00CD7517" w:rsidRPr="00F87467">
        <w:rPr>
          <w:rFonts w:ascii="Times New Roman" w:eastAsia="Times New Roman" w:hAnsi="Times New Roman" w:cs="Times New Roman"/>
          <w:sz w:val="24"/>
          <w:szCs w:val="24"/>
          <w:lang w:eastAsia="de-DE"/>
        </w:rPr>
        <w:t>b</w:t>
      </w:r>
      <w:r w:rsidR="006D5742" w:rsidRPr="00F87467">
        <w:rPr>
          <w:rFonts w:ascii="Times New Roman" w:eastAsia="Times New Roman" w:hAnsi="Times New Roman" w:cs="Times New Roman"/>
          <w:sz w:val="24"/>
          <w:szCs w:val="24"/>
          <w:lang w:eastAsia="de-DE"/>
        </w:rPr>
        <w:t xml:space="preserve">e carried out by the notified body itself or by an entity contracted by the notified body to perform such tests. Either way, the notified body maintains the responsibility for </w:t>
      </w:r>
      <w:r w:rsidR="00CD7517" w:rsidRPr="00F87467">
        <w:rPr>
          <w:rFonts w:ascii="Times New Roman" w:eastAsia="Times New Roman" w:hAnsi="Times New Roman" w:cs="Times New Roman"/>
          <w:sz w:val="24"/>
          <w:szCs w:val="24"/>
          <w:lang w:eastAsia="de-DE"/>
        </w:rPr>
        <w:t>performing</w:t>
      </w:r>
      <w:r w:rsidR="006D5742" w:rsidRPr="00F87467">
        <w:rPr>
          <w:rFonts w:ascii="Times New Roman" w:eastAsia="Times New Roman" w:hAnsi="Times New Roman" w:cs="Times New Roman"/>
          <w:sz w:val="24"/>
          <w:szCs w:val="24"/>
          <w:lang w:eastAsia="de-DE"/>
        </w:rPr>
        <w:t xml:space="preserve"> the tests</w:t>
      </w:r>
      <w:r w:rsidR="00CD7517" w:rsidRPr="00F87467">
        <w:rPr>
          <w:rFonts w:ascii="Times New Roman" w:eastAsia="Times New Roman" w:hAnsi="Times New Roman" w:cs="Times New Roman"/>
          <w:sz w:val="24"/>
          <w:szCs w:val="24"/>
          <w:lang w:eastAsia="de-DE"/>
        </w:rPr>
        <w:t xml:space="preserve"> in accordance with the </w:t>
      </w:r>
      <w:hyperlink r:id="rId124" w:history="1">
        <w:r w:rsidR="00CD7517" w:rsidRPr="00D53265">
          <w:rPr>
            <w:rStyle w:val="Hyperlink"/>
            <w:rFonts w:ascii="Times New Roman" w:eastAsia="Times New Roman" w:hAnsi="Times New Roman" w:cs="Times New Roman"/>
            <w:sz w:val="24"/>
            <w:szCs w:val="24"/>
            <w:lang w:eastAsia="de-DE"/>
          </w:rPr>
          <w:t>FPR</w:t>
        </w:r>
      </w:hyperlink>
      <w:r w:rsidR="006D5742" w:rsidRPr="00F87467">
        <w:rPr>
          <w:rFonts w:ascii="Times New Roman" w:eastAsia="Times New Roman" w:hAnsi="Times New Roman" w:cs="Times New Roman"/>
          <w:sz w:val="24"/>
          <w:szCs w:val="24"/>
          <w:lang w:eastAsia="de-DE"/>
        </w:rPr>
        <w:t>.</w:t>
      </w:r>
    </w:p>
    <w:p w14:paraId="4E004413" w14:textId="2E3467B0" w:rsidR="00AC4B41" w:rsidRPr="00F87467" w:rsidRDefault="00C261E2" w:rsidP="00F87467">
      <w:pPr>
        <w:keepNext/>
        <w:tabs>
          <w:tab w:val="left" w:pos="567"/>
        </w:tabs>
        <w:spacing w:before="60" w:after="60"/>
        <w:jc w:val="both"/>
        <w:rPr>
          <w:rFonts w:ascii="Times New Roman" w:eastAsia="Times New Roman" w:hAnsi="Times New Roman" w:cs="Times New Roman"/>
          <w:i/>
          <w:sz w:val="24"/>
          <w:szCs w:val="24"/>
          <w:lang w:eastAsia="de-DE"/>
        </w:rPr>
      </w:pPr>
      <w:r w:rsidRPr="00F87467">
        <w:rPr>
          <w:rFonts w:ascii="Times New Roman" w:hAnsi="Times New Roman" w:cs="Times New Roman"/>
          <w:i/>
          <w:sz w:val="24"/>
          <w:szCs w:val="24"/>
        </w:rPr>
        <w:t xml:space="preserve"> </w:t>
      </w:r>
      <w:r w:rsidR="00AC4B41" w:rsidRPr="00F87467">
        <w:rPr>
          <w:rFonts w:ascii="Times New Roman" w:hAnsi="Times New Roman" w:cs="Times New Roman"/>
          <w:i/>
          <w:sz w:val="24"/>
          <w:szCs w:val="24"/>
        </w:rPr>
        <w:t xml:space="preserve"> </w:t>
      </w:r>
    </w:p>
    <w:p w14:paraId="7B406191" w14:textId="2B7AA1EE" w:rsidR="00AC4B41" w:rsidRPr="00F87467" w:rsidRDefault="00AC4B41" w:rsidP="00F87467">
      <w:pPr>
        <w:pStyle w:val="Heading2"/>
        <w:spacing w:before="60" w:after="60" w:line="276" w:lineRule="auto"/>
      </w:pPr>
      <w:bookmarkStart w:id="72" w:name="_Toc59185432"/>
      <w:r w:rsidRPr="00F87467">
        <w:t>Can national authorities require that Module D1 is used for a fertilising product that only requires Module A, e.g., an organic fertiliser?</w:t>
      </w:r>
      <w:bookmarkEnd w:id="72"/>
    </w:p>
    <w:p w14:paraId="28DF7BA6" w14:textId="6F4CF16E" w:rsidR="00945226" w:rsidRPr="00F87467" w:rsidRDefault="00AC4B41" w:rsidP="00F87467">
      <w:pPr>
        <w:tabs>
          <w:tab w:val="left" w:pos="567"/>
        </w:tabs>
        <w:spacing w:before="60" w:after="60"/>
        <w:jc w:val="both"/>
        <w:rPr>
          <w:rFonts w:ascii="Times New Roman" w:eastAsia="Times New Roman" w:hAnsi="Times New Roman" w:cs="Times New Roman"/>
          <w:sz w:val="24"/>
          <w:szCs w:val="24"/>
          <w:lang w:eastAsia="de-DE"/>
        </w:rPr>
      </w:pPr>
      <w:r w:rsidRPr="00F87467">
        <w:rPr>
          <w:rFonts w:ascii="Times New Roman" w:eastAsia="Times New Roman" w:hAnsi="Times New Roman" w:cs="Times New Roman"/>
          <w:sz w:val="24"/>
          <w:szCs w:val="24"/>
          <w:lang w:eastAsia="de-DE"/>
        </w:rPr>
        <w:t xml:space="preserve">No, national authorities cannot require that the manufacturer uses a conformity assessment module different from that prescribed/allowed by the </w:t>
      </w:r>
      <w:hyperlink r:id="rId125" w:history="1">
        <w:r w:rsidRPr="00D53265">
          <w:rPr>
            <w:rStyle w:val="Hyperlink"/>
            <w:rFonts w:ascii="Times New Roman" w:eastAsia="Times New Roman" w:hAnsi="Times New Roman" w:cs="Times New Roman"/>
            <w:sz w:val="24"/>
            <w:szCs w:val="24"/>
            <w:lang w:eastAsia="de-DE"/>
          </w:rPr>
          <w:t>FPR</w:t>
        </w:r>
      </w:hyperlink>
      <w:r w:rsidRPr="00F87467">
        <w:rPr>
          <w:rFonts w:ascii="Times New Roman" w:eastAsia="Times New Roman" w:hAnsi="Times New Roman" w:cs="Times New Roman"/>
          <w:sz w:val="24"/>
          <w:szCs w:val="24"/>
          <w:lang w:eastAsia="de-DE"/>
        </w:rPr>
        <w:t xml:space="preserve">. The applicability of modules is an integral part of the </w:t>
      </w:r>
      <w:hyperlink r:id="rId126" w:history="1">
        <w:r w:rsidRPr="00D53265">
          <w:rPr>
            <w:rStyle w:val="Hyperlink"/>
            <w:rFonts w:ascii="Times New Roman" w:eastAsia="Times New Roman" w:hAnsi="Times New Roman" w:cs="Times New Roman"/>
            <w:sz w:val="24"/>
            <w:szCs w:val="24"/>
            <w:lang w:eastAsia="de-DE"/>
          </w:rPr>
          <w:t>FPR</w:t>
        </w:r>
      </w:hyperlink>
      <w:r w:rsidRPr="00F87467">
        <w:rPr>
          <w:rFonts w:ascii="Times New Roman" w:eastAsia="Times New Roman" w:hAnsi="Times New Roman" w:cs="Times New Roman"/>
          <w:sz w:val="24"/>
          <w:szCs w:val="24"/>
          <w:lang w:eastAsia="de-DE"/>
        </w:rPr>
        <w:t xml:space="preserve"> and has a direct binding leg</w:t>
      </w:r>
      <w:r w:rsidR="002C2CCD">
        <w:rPr>
          <w:rFonts w:ascii="Times New Roman" w:eastAsia="Times New Roman" w:hAnsi="Times New Roman" w:cs="Times New Roman"/>
          <w:sz w:val="24"/>
          <w:szCs w:val="24"/>
          <w:lang w:eastAsia="de-DE"/>
        </w:rPr>
        <w:t xml:space="preserve">al effect in all EU countries. </w:t>
      </w:r>
    </w:p>
    <w:sectPr w:rsidR="00945226" w:rsidRPr="00F87467" w:rsidSect="002C2CCD">
      <w:headerReference w:type="even" r:id="rId127"/>
      <w:headerReference w:type="default" r:id="rId128"/>
      <w:footerReference w:type="even" r:id="rId129"/>
      <w:footerReference w:type="default" r:id="rId130"/>
      <w:headerReference w:type="first" r:id="rId131"/>
      <w:footerReference w:type="first" r:id="rId1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694CF" w14:textId="77777777" w:rsidR="009A281C" w:rsidRDefault="009A281C" w:rsidP="00E9359C">
      <w:pPr>
        <w:spacing w:after="0" w:line="240" w:lineRule="auto"/>
      </w:pPr>
      <w:r>
        <w:separator/>
      </w:r>
    </w:p>
  </w:endnote>
  <w:endnote w:type="continuationSeparator" w:id="0">
    <w:p w14:paraId="4B385EDD" w14:textId="77777777" w:rsidR="009A281C" w:rsidRDefault="009A281C" w:rsidP="00E9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tka Text">
    <w:panose1 w:val="00000000000000000000"/>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D2C6" w14:textId="77777777" w:rsidR="009A281C" w:rsidRDefault="009A2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843971"/>
      <w:docPartObj>
        <w:docPartGallery w:val="Page Numbers (Bottom of Page)"/>
        <w:docPartUnique/>
      </w:docPartObj>
    </w:sdtPr>
    <w:sdtEndPr>
      <w:rPr>
        <w:noProof/>
      </w:rPr>
    </w:sdtEndPr>
    <w:sdtContent>
      <w:p w14:paraId="1E30A003" w14:textId="35CA4110" w:rsidR="009A281C" w:rsidRDefault="009A281C">
        <w:pPr>
          <w:pStyle w:val="Footer"/>
          <w:jc w:val="center"/>
        </w:pPr>
        <w:r>
          <w:fldChar w:fldCharType="begin"/>
        </w:r>
        <w:r>
          <w:instrText xml:space="preserve"> PAGE   \* MERGEFORMAT </w:instrText>
        </w:r>
        <w:r>
          <w:fldChar w:fldCharType="separate"/>
        </w:r>
        <w:r w:rsidR="00A21DE4">
          <w:rPr>
            <w:noProof/>
          </w:rPr>
          <w:t>11</w:t>
        </w:r>
        <w:r>
          <w:rPr>
            <w:noProof/>
          </w:rPr>
          <w:fldChar w:fldCharType="end"/>
        </w:r>
      </w:p>
    </w:sdtContent>
  </w:sdt>
  <w:p w14:paraId="1EFC4D48" w14:textId="77777777" w:rsidR="009A281C" w:rsidRPr="002C2CCD" w:rsidRDefault="009A281C" w:rsidP="002C2C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1862004542"/>
    </w:sdtPr>
    <w:sdtEndPr/>
    <w:sdtContent>
      <w:p w14:paraId="2AC15BF8" w14:textId="482A0824" w:rsidR="009A281C" w:rsidRDefault="00205423" w:rsidP="002C2CCD">
        <w:pPr>
          <w:pStyle w:val="Footer"/>
        </w:pPr>
        <w:sdt>
          <w:sdtPr>
            <w:rPr>
              <w:lang w:val="fr-FR"/>
            </w:rPr>
            <w:id w:val="-788889076"/>
            <w:dataBinding w:xpath="/Author/Addresses/Address[Id = 'f03b5801-04c9-4931-aa17-c6d6c70bc579']/Footer" w:storeItemID="{4121F98F-4006-445A-8A72-E68EB81E4FAF}"/>
            <w:text w:multiLine="1"/>
          </w:sdtPr>
          <w:sdtEndPr/>
          <w:sdtContent>
            <w:r w:rsidR="009A281C" w:rsidRPr="00DD663A">
              <w:rPr>
                <w:lang w:val="fr-FR"/>
              </w:rPr>
              <w:t>Commission européenne/Europese Commissie, 1049 Bruxelles/Brussel, BELGIQUE/BELGIË - Tel. +32 22991111</w:t>
            </w:r>
            <w:r w:rsidR="009A281C" w:rsidRPr="00DD663A">
              <w:rPr>
                <w:lang w:val="fr-FR"/>
              </w:rPr>
              <w:br/>
              <w:t>GROW-fertilising-products@ec.europa.eu</w:t>
            </w:r>
          </w:sdtContent>
        </w:sdt>
      </w:p>
      <w:p w14:paraId="56F1FC15" w14:textId="77777777" w:rsidR="009A281C" w:rsidRDefault="00205423" w:rsidP="002C2CCD">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4F346" w14:textId="77777777" w:rsidR="009A281C" w:rsidRDefault="009A281C" w:rsidP="00E9359C">
      <w:pPr>
        <w:spacing w:after="0" w:line="240" w:lineRule="auto"/>
      </w:pPr>
      <w:r>
        <w:separator/>
      </w:r>
    </w:p>
  </w:footnote>
  <w:footnote w:type="continuationSeparator" w:id="0">
    <w:p w14:paraId="6BC61144" w14:textId="77777777" w:rsidR="009A281C" w:rsidRDefault="009A281C" w:rsidP="00E9359C">
      <w:pPr>
        <w:spacing w:after="0" w:line="240" w:lineRule="auto"/>
      </w:pPr>
      <w:r>
        <w:continuationSeparator/>
      </w:r>
    </w:p>
  </w:footnote>
  <w:footnote w:id="1">
    <w:p w14:paraId="7C633667" w14:textId="06BE3A62" w:rsidR="009A281C" w:rsidRPr="00CF62BE" w:rsidRDefault="009A281C">
      <w:pPr>
        <w:pStyle w:val="FootnoteText"/>
        <w:rPr>
          <w:lang w:val="en-IE"/>
        </w:rPr>
      </w:pPr>
      <w:r>
        <w:rPr>
          <w:rStyle w:val="FootnoteReference"/>
        </w:rPr>
        <w:footnoteRef/>
      </w:r>
      <w:r>
        <w:t xml:space="preserve"> </w:t>
      </w:r>
      <w:r>
        <w:tab/>
      </w:r>
      <w:r w:rsidRPr="00362744">
        <w:t xml:space="preserve">See section 2.3 of </w:t>
      </w:r>
      <w:hyperlink r:id="rId1" w:history="1">
        <w:r w:rsidRPr="002801F7">
          <w:rPr>
            <w:rStyle w:val="Hyperlink"/>
          </w:rPr>
          <w:t>the ‘Blue Guide’</w:t>
        </w:r>
      </w:hyperlink>
      <w:r w:rsidRPr="00362744">
        <w:t xml:space="preserve"> on the implementation of EU products rules 2016 (2016/C 272/01</w:t>
      </w:r>
      <w:r>
        <w:t xml:space="preserve">; </w:t>
      </w:r>
      <w:r w:rsidRPr="00362744">
        <w:t>https://ec.europa.eu/docsroom/documents/18027</w:t>
      </w:r>
      <w:r>
        <w:t>)</w:t>
      </w:r>
    </w:p>
  </w:footnote>
  <w:footnote w:id="2">
    <w:p w14:paraId="1ED8B1C4" w14:textId="7ACD7D3C" w:rsidR="009A281C" w:rsidRPr="00CF62BE" w:rsidRDefault="009A281C">
      <w:pPr>
        <w:pStyle w:val="FootnoteText"/>
        <w:rPr>
          <w:lang w:val="en-IE"/>
        </w:rPr>
      </w:pPr>
      <w:r>
        <w:rPr>
          <w:rStyle w:val="FootnoteReference"/>
        </w:rPr>
        <w:footnoteRef/>
      </w:r>
      <w:r>
        <w:t xml:space="preserve"> </w:t>
      </w:r>
      <w:r w:rsidRPr="00CF62BE">
        <w:rPr>
          <w:lang w:val="en-IE"/>
        </w:rPr>
        <w:tab/>
        <w:t xml:space="preserve">See section 2.3 of </w:t>
      </w:r>
      <w:hyperlink r:id="rId2" w:history="1">
        <w:r w:rsidRPr="002801F7">
          <w:rPr>
            <w:rStyle w:val="Hyperlink"/>
            <w:lang w:val="en-IE"/>
          </w:rPr>
          <w:t>the ‘Blue Guide’</w:t>
        </w:r>
      </w:hyperlink>
      <w:r w:rsidRPr="00CF62BE">
        <w:rPr>
          <w:lang w:val="en-IE"/>
        </w:rPr>
        <w:t xml:space="preserve"> on the implementation of EU products rules 2016 (2016/C 272/01; https://ec.europa.eu/docsroom/documents/18027) </w:t>
      </w:r>
    </w:p>
  </w:footnote>
  <w:footnote w:id="3">
    <w:p w14:paraId="4880FC38" w14:textId="77777777" w:rsidR="009A281C" w:rsidRPr="00934660" w:rsidRDefault="009A281C" w:rsidP="00DF1E77">
      <w:pPr>
        <w:pStyle w:val="FootnoteText"/>
        <w:rPr>
          <w:lang w:val="en-IE"/>
        </w:rPr>
      </w:pPr>
      <w:r w:rsidRPr="00934660">
        <w:rPr>
          <w:rStyle w:val="FootnoteReference"/>
        </w:rPr>
        <w:footnoteRef/>
      </w:r>
      <w:r w:rsidRPr="00934660">
        <w:t xml:space="preserve"> </w:t>
      </w:r>
      <w:r w:rsidRPr="00934660">
        <w:rPr>
          <w:lang w:val="en-IE"/>
        </w:rPr>
        <w:tab/>
        <w:t xml:space="preserve">See by analogy </w:t>
      </w:r>
      <w:r w:rsidRPr="00934660">
        <w:t xml:space="preserve">section 2.3 of the ‘Blue Guide’ on the implementation of EU products rules 2016 (2016/C 272/01; </w:t>
      </w:r>
      <w:hyperlink r:id="rId3" w:history="1">
        <w:r w:rsidRPr="00934660">
          <w:rPr>
            <w:rStyle w:val="Hyperlink"/>
            <w:color w:val="auto"/>
          </w:rPr>
          <w:t>https://ec.europa.eu/docsroom/documents/18027</w:t>
        </w:r>
      </w:hyperlink>
      <w:r w:rsidRPr="00934660">
        <w:t>). Please note, however, that the Blue Guide describes the concept of placing on the market pursuant to the ‘New Legislative Framework’, which is different from the same concept in Regulation (EC) No 2003/2003.</w:t>
      </w:r>
    </w:p>
  </w:footnote>
  <w:footnote w:id="4">
    <w:p w14:paraId="1758D98C" w14:textId="77777777" w:rsidR="009A281C" w:rsidRPr="00934660" w:rsidRDefault="009A281C" w:rsidP="00DF1E77">
      <w:pPr>
        <w:pStyle w:val="FootnoteText"/>
        <w:rPr>
          <w:lang w:val="en-IE"/>
        </w:rPr>
      </w:pPr>
      <w:r w:rsidRPr="00934660">
        <w:rPr>
          <w:rStyle w:val="FootnoteReference"/>
        </w:rPr>
        <w:footnoteRef/>
      </w:r>
      <w:r w:rsidRPr="00934660">
        <w:t xml:space="preserve"> </w:t>
      </w:r>
      <w:r w:rsidRPr="00934660">
        <w:rPr>
          <w:lang w:val="en-IE"/>
        </w:rPr>
        <w:tab/>
        <w:t>Idem.</w:t>
      </w:r>
    </w:p>
  </w:footnote>
  <w:footnote w:id="5">
    <w:p w14:paraId="469E843C" w14:textId="77777777" w:rsidR="009A281C" w:rsidRPr="00CF62BE" w:rsidRDefault="009A281C" w:rsidP="00DF1E77">
      <w:pPr>
        <w:pStyle w:val="FootnoteText"/>
        <w:rPr>
          <w:lang w:val="en-IE"/>
        </w:rPr>
      </w:pPr>
      <w:r>
        <w:rPr>
          <w:rStyle w:val="FootnoteReference"/>
        </w:rPr>
        <w:footnoteRef/>
      </w:r>
      <w:r>
        <w:t xml:space="preserve"> </w:t>
      </w:r>
      <w:r w:rsidRPr="00CF62BE">
        <w:rPr>
          <w:lang w:val="en-IE"/>
        </w:rPr>
        <w:tab/>
        <w:t>Idem.</w:t>
      </w:r>
    </w:p>
  </w:footnote>
  <w:footnote w:id="6">
    <w:p w14:paraId="4A43CA5D" w14:textId="77777777" w:rsidR="009A281C" w:rsidRPr="00CF62BE" w:rsidRDefault="009A281C" w:rsidP="00DF1E77">
      <w:pPr>
        <w:pStyle w:val="FootnoteText"/>
        <w:rPr>
          <w:lang w:val="en-IE"/>
        </w:rPr>
      </w:pPr>
      <w:r>
        <w:rPr>
          <w:rStyle w:val="FootnoteReference"/>
        </w:rPr>
        <w:footnoteRef/>
      </w:r>
      <w:r>
        <w:t xml:space="preserve"> </w:t>
      </w:r>
      <w:r w:rsidRPr="00CF62BE">
        <w:rPr>
          <w:lang w:val="en-IE"/>
        </w:rPr>
        <w:tab/>
        <w:t>Idem.</w:t>
      </w:r>
    </w:p>
  </w:footnote>
  <w:footnote w:id="7">
    <w:p w14:paraId="25B72016" w14:textId="77777777" w:rsidR="009A281C" w:rsidRPr="00CF62BE" w:rsidRDefault="009A281C" w:rsidP="00DF1E77">
      <w:pPr>
        <w:pStyle w:val="FootnoteText"/>
        <w:rPr>
          <w:lang w:val="en-IE"/>
        </w:rPr>
      </w:pPr>
      <w:r>
        <w:rPr>
          <w:rStyle w:val="FootnoteReference"/>
        </w:rPr>
        <w:footnoteRef/>
      </w:r>
      <w:r>
        <w:t xml:space="preserve"> </w:t>
      </w:r>
      <w:r w:rsidRPr="00CF62BE">
        <w:rPr>
          <w:lang w:val="en-IE"/>
        </w:rPr>
        <w:tab/>
        <w:t xml:space="preserve">See by analogy </w:t>
      </w:r>
      <w:r>
        <w:t>section 2.4 of</w:t>
      </w:r>
      <w:r w:rsidRPr="00362744">
        <w:t xml:space="preserve"> the ‘Blue Guide’ on the implementation of EU products rules 2016 (2016/C 272/01</w:t>
      </w:r>
      <w:r>
        <w:t xml:space="preserve">; </w:t>
      </w:r>
      <w:hyperlink r:id="rId4" w:history="1">
        <w:r w:rsidRPr="00C63E42">
          <w:rPr>
            <w:rStyle w:val="Hyperlink"/>
          </w:rPr>
          <w:t>https://ec.europa.eu/docsroom/documents/18027</w:t>
        </w:r>
      </w:hyperlink>
      <w:r>
        <w:t>). Please note, however, that the Blue Guide describes the concept of placing on the market pursuant to the ‘New Legislative Framework’, which is different from the same concept in Regulation (EC) No 2003/2003.</w:t>
      </w:r>
    </w:p>
  </w:footnote>
  <w:footnote w:id="8">
    <w:p w14:paraId="0109B6CB" w14:textId="77777777" w:rsidR="009A281C" w:rsidRPr="00CF62BE" w:rsidRDefault="009A281C" w:rsidP="00945226">
      <w:pPr>
        <w:pStyle w:val="FootnoteText"/>
        <w:rPr>
          <w:lang w:val="en-IE"/>
        </w:rPr>
      </w:pPr>
      <w:r>
        <w:rPr>
          <w:rStyle w:val="FootnoteReference"/>
        </w:rPr>
        <w:footnoteRef/>
      </w:r>
      <w:r>
        <w:t xml:space="preserve"> </w:t>
      </w:r>
      <w:r w:rsidRPr="00CF62BE">
        <w:rPr>
          <w:lang w:val="en-IE"/>
        </w:rPr>
        <w:tab/>
        <w:t xml:space="preserve">See section 7.2 of the ’Blue Guide’ </w:t>
      </w:r>
      <w:r w:rsidRPr="00362744">
        <w:t>on the implementation of EU products rules 2016 (2016/C 272/01</w:t>
      </w:r>
      <w:r>
        <w:t xml:space="preserve">; </w:t>
      </w:r>
      <w:r w:rsidRPr="00362744">
        <w:t>https://ec.europa.eu/docsroom/documents/18027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AEA7" w14:textId="77777777" w:rsidR="009A281C" w:rsidRDefault="009A2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E019" w14:textId="6A2E5288" w:rsidR="009A281C" w:rsidRPr="00493DAD" w:rsidRDefault="009A281C" w:rsidP="00493DAD">
    <w:pPr>
      <w:pStyle w:val="ListNumber"/>
      <w:numPr>
        <w:ilvl w:val="0"/>
        <w:numId w:val="0"/>
      </w:numPr>
      <w:spacing w:after="120" w:line="360" w:lineRule="auto"/>
      <w:ind w:left="1309" w:hanging="709"/>
      <w:jc w:val="right"/>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3423" w14:textId="77777777" w:rsidR="009A281C" w:rsidRDefault="009A2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5E82"/>
    <w:multiLevelType w:val="hybridMultilevel"/>
    <w:tmpl w:val="6FF68CD6"/>
    <w:lvl w:ilvl="0" w:tplc="2D22C02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E5FDC"/>
    <w:multiLevelType w:val="multilevel"/>
    <w:tmpl w:val="A266A9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9173B34"/>
    <w:multiLevelType w:val="hybridMultilevel"/>
    <w:tmpl w:val="E2B4B064"/>
    <w:lvl w:ilvl="0" w:tplc="9996ADCE">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8316E"/>
    <w:multiLevelType w:val="hybridMultilevel"/>
    <w:tmpl w:val="28DCECAE"/>
    <w:lvl w:ilvl="0" w:tplc="1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21653"/>
    <w:multiLevelType w:val="hybridMultilevel"/>
    <w:tmpl w:val="30D84A4E"/>
    <w:lvl w:ilvl="0" w:tplc="D884F1B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A7644"/>
    <w:multiLevelType w:val="hybridMultilevel"/>
    <w:tmpl w:val="ABE28520"/>
    <w:lvl w:ilvl="0" w:tplc="A96C2214">
      <w:start w:val="5"/>
      <w:numFmt w:val="bullet"/>
      <w:lvlText w:val="-"/>
      <w:lvlJc w:val="left"/>
      <w:pPr>
        <w:ind w:left="720" w:hanging="360"/>
      </w:pPr>
      <w:rPr>
        <w:rFonts w:ascii="Times New Roman" w:eastAsiaTheme="minorEastAsi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F662378"/>
    <w:multiLevelType w:val="hybridMultilevel"/>
    <w:tmpl w:val="B76E8B1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41AF9"/>
    <w:multiLevelType w:val="hybridMultilevel"/>
    <w:tmpl w:val="FD6E00EE"/>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8" w15:restartNumberingAfterBreak="0">
    <w:nsid w:val="30BB3DF4"/>
    <w:multiLevelType w:val="hybridMultilevel"/>
    <w:tmpl w:val="F21E2A82"/>
    <w:lvl w:ilvl="0" w:tplc="1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502C0"/>
    <w:multiLevelType w:val="hybridMultilevel"/>
    <w:tmpl w:val="69A2C5FE"/>
    <w:lvl w:ilvl="0" w:tplc="27F66C64">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00DCE"/>
    <w:multiLevelType w:val="hybridMultilevel"/>
    <w:tmpl w:val="1946145C"/>
    <w:lvl w:ilvl="0" w:tplc="9996ADCE">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660A6"/>
    <w:multiLevelType w:val="hybridMultilevel"/>
    <w:tmpl w:val="E3282B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BC20CC"/>
    <w:multiLevelType w:val="hybridMultilevel"/>
    <w:tmpl w:val="29E80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D47F7"/>
    <w:multiLevelType w:val="hybridMultilevel"/>
    <w:tmpl w:val="41E8F0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428415E7"/>
    <w:multiLevelType w:val="multilevel"/>
    <w:tmpl w:val="76369B7E"/>
    <w:lvl w:ilvl="0">
      <w:start w:val="1"/>
      <w:numFmt w:val="decimal"/>
      <w:pStyle w:val="ListNumber"/>
      <w:lvlText w:val="(%1)"/>
      <w:lvlJc w:val="left"/>
      <w:pPr>
        <w:tabs>
          <w:tab w:val="num" w:pos="1309"/>
        </w:tabs>
        <w:ind w:left="1309" w:hanging="709"/>
      </w:pPr>
      <w:rPr>
        <w:rFonts w:ascii="Times New Roman" w:hAnsi="Times New Roman" w:cs="Times New Roman" w:hint="default"/>
        <w:b w:val="0"/>
        <w:bCs/>
        <w:i w:val="0"/>
        <w:iCs w:val="0"/>
        <w:caps w:val="0"/>
        <w:smallCaps w:val="0"/>
        <w:strike w:val="0"/>
        <w:dstrike w:val="0"/>
        <w:outline w:val="0"/>
        <w:shadow w:val="0"/>
        <w:emboss w:val="0"/>
        <w:imprint w:val="0"/>
        <w:noProof w:val="0"/>
        <w:vanish w:val="0"/>
        <w:color w:val="auto"/>
        <w:spacing w:val="0"/>
        <w:w w:val="100"/>
        <w:kern w:val="0"/>
        <w:position w:val="0"/>
        <w:sz w:val="24"/>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028"/>
        </w:tabs>
        <w:ind w:left="2028" w:hanging="708"/>
      </w:pPr>
      <w:rPr>
        <w:rFonts w:hint="default"/>
        <w:b w:val="0"/>
      </w:rPr>
    </w:lvl>
    <w:lvl w:ilvl="2">
      <w:start w:val="1"/>
      <w:numFmt w:val="decimal"/>
      <w:pStyle w:val="ListNumberLevel3"/>
      <w:lvlText w:val="%3."/>
      <w:lvlJc w:val="left"/>
      <w:pPr>
        <w:tabs>
          <w:tab w:val="num" w:pos="2704"/>
        </w:tabs>
        <w:ind w:left="2704" w:hanging="709"/>
      </w:pPr>
      <w:rPr>
        <w:rFonts w:hint="default"/>
      </w:rPr>
    </w:lvl>
    <w:lvl w:ilvl="3">
      <w:start w:val="1"/>
      <w:numFmt w:val="bullet"/>
      <w:pStyle w:val="ListNumberLevel4"/>
      <w:lvlText w:val=""/>
      <w:lvlJc w:val="left"/>
      <w:pPr>
        <w:tabs>
          <w:tab w:val="num" w:pos="3413"/>
        </w:tabs>
        <w:ind w:left="3413" w:hanging="709"/>
      </w:pPr>
      <w:rPr>
        <w:rFonts w:ascii="Symbol" w:hAnsi="Symbol" w:hint="default"/>
      </w:rPr>
    </w:lvl>
    <w:lvl w:ilvl="4">
      <w:start w:val="1"/>
      <w:numFmt w:val="lowerLetter"/>
      <w:lvlText w:val="(%5)"/>
      <w:lvlJc w:val="left"/>
      <w:pPr>
        <w:tabs>
          <w:tab w:val="num" w:pos="2378"/>
        </w:tabs>
        <w:ind w:left="2378" w:hanging="360"/>
      </w:pPr>
      <w:rPr>
        <w:rFonts w:hint="default"/>
      </w:rPr>
    </w:lvl>
    <w:lvl w:ilvl="5">
      <w:start w:val="1"/>
      <w:numFmt w:val="lowerRoman"/>
      <w:lvlText w:val="(%6)"/>
      <w:lvlJc w:val="left"/>
      <w:pPr>
        <w:tabs>
          <w:tab w:val="num" w:pos="2738"/>
        </w:tabs>
        <w:ind w:left="2738" w:hanging="360"/>
      </w:pPr>
      <w:rPr>
        <w:rFonts w:hint="default"/>
      </w:rPr>
    </w:lvl>
    <w:lvl w:ilvl="6">
      <w:start w:val="1"/>
      <w:numFmt w:val="decimal"/>
      <w:lvlText w:val="%7."/>
      <w:lvlJc w:val="left"/>
      <w:pPr>
        <w:tabs>
          <w:tab w:val="num" w:pos="3098"/>
        </w:tabs>
        <w:ind w:left="3098" w:hanging="360"/>
      </w:pPr>
      <w:rPr>
        <w:rFonts w:hint="default"/>
      </w:rPr>
    </w:lvl>
    <w:lvl w:ilvl="7">
      <w:start w:val="1"/>
      <w:numFmt w:val="lowerLetter"/>
      <w:lvlText w:val="%8."/>
      <w:lvlJc w:val="left"/>
      <w:pPr>
        <w:tabs>
          <w:tab w:val="num" w:pos="3458"/>
        </w:tabs>
        <w:ind w:left="3458" w:hanging="360"/>
      </w:pPr>
      <w:rPr>
        <w:rFonts w:hint="default"/>
      </w:rPr>
    </w:lvl>
    <w:lvl w:ilvl="8">
      <w:start w:val="1"/>
      <w:numFmt w:val="lowerRoman"/>
      <w:lvlText w:val="%9."/>
      <w:lvlJc w:val="left"/>
      <w:pPr>
        <w:tabs>
          <w:tab w:val="num" w:pos="3818"/>
        </w:tabs>
        <w:ind w:left="3818" w:hanging="360"/>
      </w:pPr>
      <w:rPr>
        <w:rFonts w:hint="default"/>
      </w:rPr>
    </w:lvl>
  </w:abstractNum>
  <w:abstractNum w:abstractNumId="15" w15:restartNumberingAfterBreak="0">
    <w:nsid w:val="45371D93"/>
    <w:multiLevelType w:val="hybridMultilevel"/>
    <w:tmpl w:val="89E0F2B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4E9B56FB"/>
    <w:multiLevelType w:val="hybridMultilevel"/>
    <w:tmpl w:val="3A2E4D6A"/>
    <w:lvl w:ilvl="0" w:tplc="08090017">
      <w:start w:val="1"/>
      <w:numFmt w:val="lowerLetter"/>
      <w:lvlText w:val="%1)"/>
      <w:lvlJc w:val="left"/>
      <w:pPr>
        <w:ind w:left="720" w:hanging="360"/>
      </w:pPr>
    </w:lvl>
    <w:lvl w:ilvl="1" w:tplc="1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015A47"/>
    <w:multiLevelType w:val="hybridMultilevel"/>
    <w:tmpl w:val="31EEC2FC"/>
    <w:lvl w:ilvl="0" w:tplc="9996ADCE">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AB27EB"/>
    <w:multiLevelType w:val="hybridMultilevel"/>
    <w:tmpl w:val="203C00AE"/>
    <w:lvl w:ilvl="0" w:tplc="1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9617D6"/>
    <w:multiLevelType w:val="hybridMultilevel"/>
    <w:tmpl w:val="326CB90C"/>
    <w:lvl w:ilvl="0" w:tplc="27F66C64">
      <w:start w:val="1"/>
      <w:numFmt w:val="bullet"/>
      <w:lvlText w:val="-"/>
      <w:lvlJc w:val="left"/>
      <w:pPr>
        <w:ind w:left="720" w:hanging="360"/>
      </w:pPr>
      <w:rPr>
        <w:rFonts w:ascii="Sitka Text" w:hAnsi="Sitka Tex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E37BBE"/>
    <w:multiLevelType w:val="hybridMultilevel"/>
    <w:tmpl w:val="E6B2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9B716A"/>
    <w:multiLevelType w:val="multilevel"/>
    <w:tmpl w:val="3732CB84"/>
    <w:lvl w:ilvl="0">
      <w:start w:val="1"/>
      <w:numFmt w:val="decimal"/>
      <w:lvlText w:val="%1."/>
      <w:lvlJc w:val="left"/>
      <w:pPr>
        <w:ind w:left="375" w:hanging="375"/>
      </w:pPr>
      <w:rPr>
        <w:rFonts w:hint="default"/>
      </w:rPr>
    </w:lvl>
    <w:lvl w:ilvl="1">
      <w:start w:val="1"/>
      <w:numFmt w:val="decimal"/>
      <w:pStyle w:val="Heading2"/>
      <w:lvlText w:val="%1.%2"/>
      <w:lvlJc w:val="left"/>
      <w:pPr>
        <w:ind w:left="855" w:hanging="375"/>
      </w:pPr>
      <w:rPr>
        <w:rFonts w:hint="default"/>
        <w:i/>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F601273"/>
    <w:multiLevelType w:val="hybridMultilevel"/>
    <w:tmpl w:val="EB4A2548"/>
    <w:lvl w:ilvl="0" w:tplc="9996ADCE">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A34A8B"/>
    <w:multiLevelType w:val="hybridMultilevel"/>
    <w:tmpl w:val="73F62CA6"/>
    <w:lvl w:ilvl="0" w:tplc="3844E5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A762CE"/>
    <w:multiLevelType w:val="hybridMultilevel"/>
    <w:tmpl w:val="AE7EA65A"/>
    <w:lvl w:ilvl="0" w:tplc="08090017">
      <w:start w:val="1"/>
      <w:numFmt w:val="lowerLetter"/>
      <w:lvlText w:val="%1)"/>
      <w:lvlJc w:val="left"/>
      <w:pPr>
        <w:ind w:left="720" w:hanging="360"/>
      </w:pPr>
    </w:lvl>
    <w:lvl w:ilvl="1" w:tplc="27F66C64">
      <w:start w:val="1"/>
      <w:numFmt w:val="bullet"/>
      <w:lvlText w:val="-"/>
      <w:lvlJc w:val="left"/>
      <w:pPr>
        <w:ind w:left="1440" w:hanging="360"/>
      </w:pPr>
      <w:rPr>
        <w:rFonts w:ascii="Sitka Text" w:hAnsi="Sitka Tex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8C1AC7"/>
    <w:multiLevelType w:val="hybridMultilevel"/>
    <w:tmpl w:val="04AEED7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6B6F5A"/>
    <w:multiLevelType w:val="hybridMultilevel"/>
    <w:tmpl w:val="55A06212"/>
    <w:lvl w:ilvl="0" w:tplc="1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1"/>
  </w:num>
  <w:num w:numId="4">
    <w:abstractNumId w:val="11"/>
  </w:num>
  <w:num w:numId="5">
    <w:abstractNumId w:val="13"/>
  </w:num>
  <w:num w:numId="6">
    <w:abstractNumId w:val="0"/>
  </w:num>
  <w:num w:numId="7">
    <w:abstractNumId w:val="12"/>
  </w:num>
  <w:num w:numId="8">
    <w:abstractNumId w:val="20"/>
  </w:num>
  <w:num w:numId="9">
    <w:abstractNumId w:val="10"/>
  </w:num>
  <w:num w:numId="10">
    <w:abstractNumId w:val="17"/>
  </w:num>
  <w:num w:numId="11">
    <w:abstractNumId w:val="2"/>
  </w:num>
  <w:num w:numId="12">
    <w:abstractNumId w:val="23"/>
  </w:num>
  <w:num w:numId="13">
    <w:abstractNumId w:val="22"/>
  </w:num>
  <w:num w:numId="14">
    <w:abstractNumId w:val="25"/>
  </w:num>
  <w:num w:numId="15">
    <w:abstractNumId w:val="24"/>
  </w:num>
  <w:num w:numId="16">
    <w:abstractNumId w:val="19"/>
  </w:num>
  <w:num w:numId="17">
    <w:abstractNumId w:val="9"/>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7"/>
  </w:num>
  <w:num w:numId="33">
    <w:abstractNumId w:val="26"/>
  </w:num>
  <w:num w:numId="34">
    <w:abstractNumId w:val="16"/>
  </w:num>
  <w:num w:numId="35">
    <w:abstractNumId w:val="3"/>
  </w:num>
  <w:num w:numId="36">
    <w:abstractNumId w:val="8"/>
  </w:num>
  <w:num w:numId="37">
    <w:abstractNumId w:val="15"/>
  </w:num>
  <w:num w:numId="38">
    <w:abstractNumId w:val="6"/>
  </w:num>
  <w:num w:numId="3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BE" w:vendorID="64" w:dllVersion="6" w:nlCheck="1" w:checkStyle="0"/>
  <w:activeWritingStyle w:appName="MSWord" w:lang="es-ES" w:vendorID="64" w:dllVersion="6" w:nlCheck="1" w:checkStyle="0"/>
  <w:activeWritingStyle w:appName="MSWord" w:lang="fr-FR" w:vendorID="64" w:dllVersion="6" w:nlCheck="1" w:checkStyle="0"/>
  <w:activeWritingStyle w:appName="MSWord" w:lang="en-GB" w:vendorID="64" w:dllVersion="0" w:nlCheck="1" w:checkStyle="0"/>
  <w:defaultTabStop w:val="720"/>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1F5B0C"/>
    <w:rsid w:val="00000AF7"/>
    <w:rsid w:val="00005CDD"/>
    <w:rsid w:val="00007119"/>
    <w:rsid w:val="000107BF"/>
    <w:rsid w:val="00010DE5"/>
    <w:rsid w:val="000128C2"/>
    <w:rsid w:val="00014119"/>
    <w:rsid w:val="000145CB"/>
    <w:rsid w:val="00015A31"/>
    <w:rsid w:val="000161C3"/>
    <w:rsid w:val="00017550"/>
    <w:rsid w:val="00017961"/>
    <w:rsid w:val="00021E84"/>
    <w:rsid w:val="000271C6"/>
    <w:rsid w:val="00032A73"/>
    <w:rsid w:val="00033348"/>
    <w:rsid w:val="00035880"/>
    <w:rsid w:val="00036A81"/>
    <w:rsid w:val="00043349"/>
    <w:rsid w:val="00045247"/>
    <w:rsid w:val="00047077"/>
    <w:rsid w:val="00051B5E"/>
    <w:rsid w:val="00054120"/>
    <w:rsid w:val="00054970"/>
    <w:rsid w:val="00057AFF"/>
    <w:rsid w:val="00062E34"/>
    <w:rsid w:val="00065C94"/>
    <w:rsid w:val="000741D7"/>
    <w:rsid w:val="0007715A"/>
    <w:rsid w:val="00080D96"/>
    <w:rsid w:val="000843A6"/>
    <w:rsid w:val="0008565D"/>
    <w:rsid w:val="000909D6"/>
    <w:rsid w:val="000B1DF4"/>
    <w:rsid w:val="000B3B08"/>
    <w:rsid w:val="000B7CEE"/>
    <w:rsid w:val="000C0C1D"/>
    <w:rsid w:val="000C538C"/>
    <w:rsid w:val="000C6EAD"/>
    <w:rsid w:val="000C76E5"/>
    <w:rsid w:val="000D346B"/>
    <w:rsid w:val="000D4114"/>
    <w:rsid w:val="000D66ED"/>
    <w:rsid w:val="000D7D75"/>
    <w:rsid w:val="000E0CAE"/>
    <w:rsid w:val="000E4DB5"/>
    <w:rsid w:val="000F14D2"/>
    <w:rsid w:val="000F3A5C"/>
    <w:rsid w:val="000F414A"/>
    <w:rsid w:val="000F5690"/>
    <w:rsid w:val="000F6888"/>
    <w:rsid w:val="000F7ECD"/>
    <w:rsid w:val="00102A0E"/>
    <w:rsid w:val="00102B30"/>
    <w:rsid w:val="0010356E"/>
    <w:rsid w:val="00103AB6"/>
    <w:rsid w:val="001041E0"/>
    <w:rsid w:val="00111D78"/>
    <w:rsid w:val="00112E90"/>
    <w:rsid w:val="00115B87"/>
    <w:rsid w:val="001164D6"/>
    <w:rsid w:val="0012166A"/>
    <w:rsid w:val="00122496"/>
    <w:rsid w:val="00123049"/>
    <w:rsid w:val="0012431C"/>
    <w:rsid w:val="00125323"/>
    <w:rsid w:val="00126B37"/>
    <w:rsid w:val="0013089A"/>
    <w:rsid w:val="00132BE1"/>
    <w:rsid w:val="00134B7A"/>
    <w:rsid w:val="0014184F"/>
    <w:rsid w:val="001421E8"/>
    <w:rsid w:val="00145C10"/>
    <w:rsid w:val="0015345E"/>
    <w:rsid w:val="00164B5C"/>
    <w:rsid w:val="001665FF"/>
    <w:rsid w:val="00182D1C"/>
    <w:rsid w:val="001830FE"/>
    <w:rsid w:val="00183277"/>
    <w:rsid w:val="00184BD2"/>
    <w:rsid w:val="00194D25"/>
    <w:rsid w:val="001A371E"/>
    <w:rsid w:val="001A5D27"/>
    <w:rsid w:val="001A6DBD"/>
    <w:rsid w:val="001A7182"/>
    <w:rsid w:val="001B029E"/>
    <w:rsid w:val="001B0BA5"/>
    <w:rsid w:val="001B15F8"/>
    <w:rsid w:val="001B2921"/>
    <w:rsid w:val="001B7702"/>
    <w:rsid w:val="001C3B2D"/>
    <w:rsid w:val="001C4454"/>
    <w:rsid w:val="001C58CF"/>
    <w:rsid w:val="001C6D98"/>
    <w:rsid w:val="001D2D84"/>
    <w:rsid w:val="001D4833"/>
    <w:rsid w:val="001D6FDF"/>
    <w:rsid w:val="001D7051"/>
    <w:rsid w:val="001D7C2A"/>
    <w:rsid w:val="001E0C66"/>
    <w:rsid w:val="001E2F5E"/>
    <w:rsid w:val="001E51E5"/>
    <w:rsid w:val="001E5555"/>
    <w:rsid w:val="001E73C0"/>
    <w:rsid w:val="001F2F06"/>
    <w:rsid w:val="001F4D5D"/>
    <w:rsid w:val="001F5B0C"/>
    <w:rsid w:val="0020201B"/>
    <w:rsid w:val="00205423"/>
    <w:rsid w:val="002072DD"/>
    <w:rsid w:val="002132B3"/>
    <w:rsid w:val="00214F1D"/>
    <w:rsid w:val="0022031D"/>
    <w:rsid w:val="00221772"/>
    <w:rsid w:val="00222A60"/>
    <w:rsid w:val="00222CF8"/>
    <w:rsid w:val="00226C09"/>
    <w:rsid w:val="002351AB"/>
    <w:rsid w:val="00236AE7"/>
    <w:rsid w:val="0024015D"/>
    <w:rsid w:val="00240BEB"/>
    <w:rsid w:val="00243C3A"/>
    <w:rsid w:val="00245BFB"/>
    <w:rsid w:val="0024776D"/>
    <w:rsid w:val="00250897"/>
    <w:rsid w:val="002566B9"/>
    <w:rsid w:val="002617DD"/>
    <w:rsid w:val="00261D10"/>
    <w:rsid w:val="00262CBC"/>
    <w:rsid w:val="00266D97"/>
    <w:rsid w:val="00271FE0"/>
    <w:rsid w:val="002745BC"/>
    <w:rsid w:val="002801F7"/>
    <w:rsid w:val="00282714"/>
    <w:rsid w:val="0028547C"/>
    <w:rsid w:val="00286311"/>
    <w:rsid w:val="002878CA"/>
    <w:rsid w:val="00291C8F"/>
    <w:rsid w:val="00296C80"/>
    <w:rsid w:val="0029704E"/>
    <w:rsid w:val="0029720A"/>
    <w:rsid w:val="00297BCD"/>
    <w:rsid w:val="002A34F7"/>
    <w:rsid w:val="002B2A60"/>
    <w:rsid w:val="002B38A6"/>
    <w:rsid w:val="002B7A87"/>
    <w:rsid w:val="002C01CD"/>
    <w:rsid w:val="002C2420"/>
    <w:rsid w:val="002C2441"/>
    <w:rsid w:val="002C2CCD"/>
    <w:rsid w:val="002C6059"/>
    <w:rsid w:val="002D2626"/>
    <w:rsid w:val="002D44EA"/>
    <w:rsid w:val="002D4641"/>
    <w:rsid w:val="002D60A6"/>
    <w:rsid w:val="002E34D2"/>
    <w:rsid w:val="002E3CFF"/>
    <w:rsid w:val="002F1E51"/>
    <w:rsid w:val="002F7526"/>
    <w:rsid w:val="003003AF"/>
    <w:rsid w:val="00303239"/>
    <w:rsid w:val="003039F5"/>
    <w:rsid w:val="003049CA"/>
    <w:rsid w:val="00306FB6"/>
    <w:rsid w:val="0030721F"/>
    <w:rsid w:val="003127F2"/>
    <w:rsid w:val="0031388C"/>
    <w:rsid w:val="0032494C"/>
    <w:rsid w:val="00324E31"/>
    <w:rsid w:val="00325D05"/>
    <w:rsid w:val="00333513"/>
    <w:rsid w:val="00333F51"/>
    <w:rsid w:val="00337E6A"/>
    <w:rsid w:val="00340730"/>
    <w:rsid w:val="00340E29"/>
    <w:rsid w:val="003461FF"/>
    <w:rsid w:val="003471F3"/>
    <w:rsid w:val="0035433F"/>
    <w:rsid w:val="00354A65"/>
    <w:rsid w:val="00354B19"/>
    <w:rsid w:val="0035782F"/>
    <w:rsid w:val="00362744"/>
    <w:rsid w:val="00364EB2"/>
    <w:rsid w:val="003651F5"/>
    <w:rsid w:val="00373BEE"/>
    <w:rsid w:val="00374605"/>
    <w:rsid w:val="00374F85"/>
    <w:rsid w:val="00377D34"/>
    <w:rsid w:val="0039520B"/>
    <w:rsid w:val="003965C5"/>
    <w:rsid w:val="003A03D3"/>
    <w:rsid w:val="003A3BF1"/>
    <w:rsid w:val="003A410B"/>
    <w:rsid w:val="003A54FC"/>
    <w:rsid w:val="003A6201"/>
    <w:rsid w:val="003A75B7"/>
    <w:rsid w:val="003C04BC"/>
    <w:rsid w:val="003C0DDD"/>
    <w:rsid w:val="003C181B"/>
    <w:rsid w:val="003C254C"/>
    <w:rsid w:val="003C3312"/>
    <w:rsid w:val="003C4607"/>
    <w:rsid w:val="003C4DBB"/>
    <w:rsid w:val="003D5517"/>
    <w:rsid w:val="003D6BEE"/>
    <w:rsid w:val="003E2202"/>
    <w:rsid w:val="003E3935"/>
    <w:rsid w:val="003E521A"/>
    <w:rsid w:val="003F0ADD"/>
    <w:rsid w:val="003F2B9E"/>
    <w:rsid w:val="0040163C"/>
    <w:rsid w:val="00406442"/>
    <w:rsid w:val="00407F81"/>
    <w:rsid w:val="00414377"/>
    <w:rsid w:val="004232DF"/>
    <w:rsid w:val="00423BC6"/>
    <w:rsid w:val="0043530E"/>
    <w:rsid w:val="004366A7"/>
    <w:rsid w:val="00437336"/>
    <w:rsid w:val="00437426"/>
    <w:rsid w:val="00442172"/>
    <w:rsid w:val="00450CBD"/>
    <w:rsid w:val="00450F3E"/>
    <w:rsid w:val="004531BA"/>
    <w:rsid w:val="0045429E"/>
    <w:rsid w:val="004544FE"/>
    <w:rsid w:val="004563C2"/>
    <w:rsid w:val="00465070"/>
    <w:rsid w:val="0047062D"/>
    <w:rsid w:val="00474EA3"/>
    <w:rsid w:val="004759A8"/>
    <w:rsid w:val="004765C2"/>
    <w:rsid w:val="004801EE"/>
    <w:rsid w:val="004828FE"/>
    <w:rsid w:val="00482EF2"/>
    <w:rsid w:val="004865FA"/>
    <w:rsid w:val="00491A18"/>
    <w:rsid w:val="00493DAD"/>
    <w:rsid w:val="004940ED"/>
    <w:rsid w:val="00494E5B"/>
    <w:rsid w:val="004A2892"/>
    <w:rsid w:val="004A348D"/>
    <w:rsid w:val="004A474B"/>
    <w:rsid w:val="004A773A"/>
    <w:rsid w:val="004A7CC9"/>
    <w:rsid w:val="004B2FB6"/>
    <w:rsid w:val="004B4197"/>
    <w:rsid w:val="004C1E9E"/>
    <w:rsid w:val="004C34EF"/>
    <w:rsid w:val="004C4823"/>
    <w:rsid w:val="004D33B3"/>
    <w:rsid w:val="004D3D1F"/>
    <w:rsid w:val="004D4754"/>
    <w:rsid w:val="004D6CA5"/>
    <w:rsid w:val="004E54FE"/>
    <w:rsid w:val="004F0D5C"/>
    <w:rsid w:val="004F168A"/>
    <w:rsid w:val="004F3116"/>
    <w:rsid w:val="004F35CD"/>
    <w:rsid w:val="004F4B11"/>
    <w:rsid w:val="004F6380"/>
    <w:rsid w:val="004F6E20"/>
    <w:rsid w:val="00500C1A"/>
    <w:rsid w:val="00502EE0"/>
    <w:rsid w:val="0050445C"/>
    <w:rsid w:val="0050490A"/>
    <w:rsid w:val="00505BF4"/>
    <w:rsid w:val="00507FA6"/>
    <w:rsid w:val="00512412"/>
    <w:rsid w:val="005154C5"/>
    <w:rsid w:val="0051574A"/>
    <w:rsid w:val="005163C4"/>
    <w:rsid w:val="0052480F"/>
    <w:rsid w:val="005278D9"/>
    <w:rsid w:val="005302D1"/>
    <w:rsid w:val="00535CBE"/>
    <w:rsid w:val="00540308"/>
    <w:rsid w:val="0054095E"/>
    <w:rsid w:val="00541F98"/>
    <w:rsid w:val="00541FAE"/>
    <w:rsid w:val="00542333"/>
    <w:rsid w:val="0054252A"/>
    <w:rsid w:val="005505CD"/>
    <w:rsid w:val="00550F9E"/>
    <w:rsid w:val="005529AA"/>
    <w:rsid w:val="00554FEA"/>
    <w:rsid w:val="0055635E"/>
    <w:rsid w:val="00557D90"/>
    <w:rsid w:val="005607D7"/>
    <w:rsid w:val="00563B29"/>
    <w:rsid w:val="00565892"/>
    <w:rsid w:val="005743B6"/>
    <w:rsid w:val="00574CBB"/>
    <w:rsid w:val="0057549E"/>
    <w:rsid w:val="00576CEE"/>
    <w:rsid w:val="00591489"/>
    <w:rsid w:val="00591E39"/>
    <w:rsid w:val="00592568"/>
    <w:rsid w:val="00592E03"/>
    <w:rsid w:val="00594065"/>
    <w:rsid w:val="00594A92"/>
    <w:rsid w:val="00594C22"/>
    <w:rsid w:val="0059677B"/>
    <w:rsid w:val="005A0908"/>
    <w:rsid w:val="005A0BD0"/>
    <w:rsid w:val="005A0F32"/>
    <w:rsid w:val="005A2066"/>
    <w:rsid w:val="005A24D9"/>
    <w:rsid w:val="005A7E9E"/>
    <w:rsid w:val="005B050A"/>
    <w:rsid w:val="005B10B9"/>
    <w:rsid w:val="005B1387"/>
    <w:rsid w:val="005B236B"/>
    <w:rsid w:val="005B2685"/>
    <w:rsid w:val="005C0534"/>
    <w:rsid w:val="005D022B"/>
    <w:rsid w:val="005D1330"/>
    <w:rsid w:val="005D3732"/>
    <w:rsid w:val="005E0960"/>
    <w:rsid w:val="005E3ACC"/>
    <w:rsid w:val="005E4334"/>
    <w:rsid w:val="005E7C1D"/>
    <w:rsid w:val="005F0435"/>
    <w:rsid w:val="005F16DF"/>
    <w:rsid w:val="005F7AB4"/>
    <w:rsid w:val="00602069"/>
    <w:rsid w:val="0060763A"/>
    <w:rsid w:val="00610664"/>
    <w:rsid w:val="006122C2"/>
    <w:rsid w:val="00612C6F"/>
    <w:rsid w:val="006146D1"/>
    <w:rsid w:val="00616928"/>
    <w:rsid w:val="00620F68"/>
    <w:rsid w:val="006215C9"/>
    <w:rsid w:val="00625DE6"/>
    <w:rsid w:val="00625E9C"/>
    <w:rsid w:val="006337DA"/>
    <w:rsid w:val="006368A4"/>
    <w:rsid w:val="00642BAB"/>
    <w:rsid w:val="0064748F"/>
    <w:rsid w:val="006477BB"/>
    <w:rsid w:val="0065122E"/>
    <w:rsid w:val="0065555E"/>
    <w:rsid w:val="0065629D"/>
    <w:rsid w:val="00660BE8"/>
    <w:rsid w:val="006616BB"/>
    <w:rsid w:val="006623FD"/>
    <w:rsid w:val="00664262"/>
    <w:rsid w:val="006673D2"/>
    <w:rsid w:val="0066746F"/>
    <w:rsid w:val="0067011B"/>
    <w:rsid w:val="00672F12"/>
    <w:rsid w:val="006747E5"/>
    <w:rsid w:val="00680395"/>
    <w:rsid w:val="006806F8"/>
    <w:rsid w:val="0068266C"/>
    <w:rsid w:val="0068321A"/>
    <w:rsid w:val="00684CFE"/>
    <w:rsid w:val="00686F4D"/>
    <w:rsid w:val="00687CB2"/>
    <w:rsid w:val="00690740"/>
    <w:rsid w:val="00692797"/>
    <w:rsid w:val="0069493E"/>
    <w:rsid w:val="006966FD"/>
    <w:rsid w:val="006A420A"/>
    <w:rsid w:val="006A4406"/>
    <w:rsid w:val="006A483A"/>
    <w:rsid w:val="006A5E1E"/>
    <w:rsid w:val="006B2D63"/>
    <w:rsid w:val="006B3BBB"/>
    <w:rsid w:val="006B459E"/>
    <w:rsid w:val="006B6EBD"/>
    <w:rsid w:val="006C30D9"/>
    <w:rsid w:val="006C3618"/>
    <w:rsid w:val="006C43BC"/>
    <w:rsid w:val="006C4A3B"/>
    <w:rsid w:val="006C5046"/>
    <w:rsid w:val="006C655B"/>
    <w:rsid w:val="006D12FB"/>
    <w:rsid w:val="006D427E"/>
    <w:rsid w:val="006D4BC2"/>
    <w:rsid w:val="006D5742"/>
    <w:rsid w:val="006D59DC"/>
    <w:rsid w:val="006D64B6"/>
    <w:rsid w:val="006D6B6F"/>
    <w:rsid w:val="006E041C"/>
    <w:rsid w:val="006E0985"/>
    <w:rsid w:val="006E450E"/>
    <w:rsid w:val="006E54DF"/>
    <w:rsid w:val="006E56AF"/>
    <w:rsid w:val="006F1D84"/>
    <w:rsid w:val="006F2694"/>
    <w:rsid w:val="006F3A2B"/>
    <w:rsid w:val="006F4B22"/>
    <w:rsid w:val="0070664F"/>
    <w:rsid w:val="007141CC"/>
    <w:rsid w:val="007160B6"/>
    <w:rsid w:val="0071703C"/>
    <w:rsid w:val="00724A51"/>
    <w:rsid w:val="00724A7B"/>
    <w:rsid w:val="0073272D"/>
    <w:rsid w:val="007339B0"/>
    <w:rsid w:val="0073535A"/>
    <w:rsid w:val="00736D73"/>
    <w:rsid w:val="007412D3"/>
    <w:rsid w:val="007438D9"/>
    <w:rsid w:val="007442C5"/>
    <w:rsid w:val="00750352"/>
    <w:rsid w:val="00750ACF"/>
    <w:rsid w:val="00752E1C"/>
    <w:rsid w:val="00761A8A"/>
    <w:rsid w:val="00764D52"/>
    <w:rsid w:val="0076760D"/>
    <w:rsid w:val="00770CCE"/>
    <w:rsid w:val="007764E5"/>
    <w:rsid w:val="0078013D"/>
    <w:rsid w:val="00780E5C"/>
    <w:rsid w:val="0078138F"/>
    <w:rsid w:val="00782333"/>
    <w:rsid w:val="00784CBF"/>
    <w:rsid w:val="00787037"/>
    <w:rsid w:val="00787AE1"/>
    <w:rsid w:val="007905E4"/>
    <w:rsid w:val="0079179A"/>
    <w:rsid w:val="00796725"/>
    <w:rsid w:val="007972E0"/>
    <w:rsid w:val="007A6CC1"/>
    <w:rsid w:val="007A720E"/>
    <w:rsid w:val="007B5029"/>
    <w:rsid w:val="007B51C5"/>
    <w:rsid w:val="007B5BA7"/>
    <w:rsid w:val="007C0662"/>
    <w:rsid w:val="007C0F6A"/>
    <w:rsid w:val="007C1D64"/>
    <w:rsid w:val="007C1F1D"/>
    <w:rsid w:val="007C473D"/>
    <w:rsid w:val="007D0C7C"/>
    <w:rsid w:val="007D0D52"/>
    <w:rsid w:val="007D50B7"/>
    <w:rsid w:val="007D51AB"/>
    <w:rsid w:val="007D6563"/>
    <w:rsid w:val="007E0B8B"/>
    <w:rsid w:val="007E5F29"/>
    <w:rsid w:val="007E5F8A"/>
    <w:rsid w:val="007E6667"/>
    <w:rsid w:val="007E70A1"/>
    <w:rsid w:val="007E7A79"/>
    <w:rsid w:val="007E7C5A"/>
    <w:rsid w:val="007F3454"/>
    <w:rsid w:val="007F482F"/>
    <w:rsid w:val="007F4942"/>
    <w:rsid w:val="007F614E"/>
    <w:rsid w:val="007F7A1D"/>
    <w:rsid w:val="00802813"/>
    <w:rsid w:val="00802CFC"/>
    <w:rsid w:val="00803E1B"/>
    <w:rsid w:val="00811D94"/>
    <w:rsid w:val="008122C7"/>
    <w:rsid w:val="00814841"/>
    <w:rsid w:val="00822BC9"/>
    <w:rsid w:val="0082596B"/>
    <w:rsid w:val="00835A5D"/>
    <w:rsid w:val="0084036D"/>
    <w:rsid w:val="00840695"/>
    <w:rsid w:val="008416DD"/>
    <w:rsid w:val="00841715"/>
    <w:rsid w:val="00843535"/>
    <w:rsid w:val="00844FCB"/>
    <w:rsid w:val="00845680"/>
    <w:rsid w:val="00846B2B"/>
    <w:rsid w:val="008523E8"/>
    <w:rsid w:val="00852830"/>
    <w:rsid w:val="00861ACC"/>
    <w:rsid w:val="008635AE"/>
    <w:rsid w:val="00874483"/>
    <w:rsid w:val="00874ADD"/>
    <w:rsid w:val="00875041"/>
    <w:rsid w:val="00876DAB"/>
    <w:rsid w:val="00877F57"/>
    <w:rsid w:val="0089457B"/>
    <w:rsid w:val="00896043"/>
    <w:rsid w:val="008A18BA"/>
    <w:rsid w:val="008A1F4F"/>
    <w:rsid w:val="008A5FED"/>
    <w:rsid w:val="008A7180"/>
    <w:rsid w:val="008A769A"/>
    <w:rsid w:val="008B1D3C"/>
    <w:rsid w:val="008B5B17"/>
    <w:rsid w:val="008B5E64"/>
    <w:rsid w:val="008C16AF"/>
    <w:rsid w:val="008C6454"/>
    <w:rsid w:val="008C6B75"/>
    <w:rsid w:val="008D1471"/>
    <w:rsid w:val="008D2646"/>
    <w:rsid w:val="008D4A98"/>
    <w:rsid w:val="008D4BF5"/>
    <w:rsid w:val="008E3D80"/>
    <w:rsid w:val="008E3F27"/>
    <w:rsid w:val="008F04C0"/>
    <w:rsid w:val="008F2EB0"/>
    <w:rsid w:val="008F4B07"/>
    <w:rsid w:val="00904F92"/>
    <w:rsid w:val="009115C2"/>
    <w:rsid w:val="009177CE"/>
    <w:rsid w:val="0091784E"/>
    <w:rsid w:val="00920ABF"/>
    <w:rsid w:val="00920F49"/>
    <w:rsid w:val="0092354F"/>
    <w:rsid w:val="00932C64"/>
    <w:rsid w:val="00933C8A"/>
    <w:rsid w:val="009341FC"/>
    <w:rsid w:val="00934660"/>
    <w:rsid w:val="00935B48"/>
    <w:rsid w:val="00940F75"/>
    <w:rsid w:val="009418B1"/>
    <w:rsid w:val="00941CA8"/>
    <w:rsid w:val="00943410"/>
    <w:rsid w:val="00945226"/>
    <w:rsid w:val="00951260"/>
    <w:rsid w:val="00952CB5"/>
    <w:rsid w:val="009549C4"/>
    <w:rsid w:val="00955BA1"/>
    <w:rsid w:val="009607E6"/>
    <w:rsid w:val="00963350"/>
    <w:rsid w:val="00972F0E"/>
    <w:rsid w:val="00973DE6"/>
    <w:rsid w:val="00982A6F"/>
    <w:rsid w:val="00983626"/>
    <w:rsid w:val="00984317"/>
    <w:rsid w:val="009843AD"/>
    <w:rsid w:val="00984463"/>
    <w:rsid w:val="00984AE2"/>
    <w:rsid w:val="0098551D"/>
    <w:rsid w:val="00986857"/>
    <w:rsid w:val="0099686D"/>
    <w:rsid w:val="009A08F3"/>
    <w:rsid w:val="009A1618"/>
    <w:rsid w:val="009A1E6D"/>
    <w:rsid w:val="009A281C"/>
    <w:rsid w:val="009A56D7"/>
    <w:rsid w:val="009A5712"/>
    <w:rsid w:val="009A653B"/>
    <w:rsid w:val="009A67D6"/>
    <w:rsid w:val="009A6DBE"/>
    <w:rsid w:val="009B066D"/>
    <w:rsid w:val="009B1723"/>
    <w:rsid w:val="009B18FB"/>
    <w:rsid w:val="009B2C82"/>
    <w:rsid w:val="009B451B"/>
    <w:rsid w:val="009B6A26"/>
    <w:rsid w:val="009B7EC5"/>
    <w:rsid w:val="009C07DE"/>
    <w:rsid w:val="009C0BE6"/>
    <w:rsid w:val="009C42AB"/>
    <w:rsid w:val="009C60CC"/>
    <w:rsid w:val="009D1DA0"/>
    <w:rsid w:val="009D2AEF"/>
    <w:rsid w:val="009D4B0D"/>
    <w:rsid w:val="009E7623"/>
    <w:rsid w:val="009F00DF"/>
    <w:rsid w:val="009F2F38"/>
    <w:rsid w:val="009F748A"/>
    <w:rsid w:val="00A0053B"/>
    <w:rsid w:val="00A010CB"/>
    <w:rsid w:val="00A0123C"/>
    <w:rsid w:val="00A01787"/>
    <w:rsid w:val="00A06C70"/>
    <w:rsid w:val="00A205C2"/>
    <w:rsid w:val="00A21DE4"/>
    <w:rsid w:val="00A227F0"/>
    <w:rsid w:val="00A26700"/>
    <w:rsid w:val="00A40485"/>
    <w:rsid w:val="00A44070"/>
    <w:rsid w:val="00A519DA"/>
    <w:rsid w:val="00A56B0F"/>
    <w:rsid w:val="00A5710D"/>
    <w:rsid w:val="00A651C4"/>
    <w:rsid w:val="00A65DDC"/>
    <w:rsid w:val="00A72302"/>
    <w:rsid w:val="00A7507B"/>
    <w:rsid w:val="00A83EB1"/>
    <w:rsid w:val="00A911A3"/>
    <w:rsid w:val="00A91A60"/>
    <w:rsid w:val="00A94792"/>
    <w:rsid w:val="00AA564E"/>
    <w:rsid w:val="00AA61F4"/>
    <w:rsid w:val="00AA6E16"/>
    <w:rsid w:val="00AB2566"/>
    <w:rsid w:val="00AB4396"/>
    <w:rsid w:val="00AB4F02"/>
    <w:rsid w:val="00AB52E6"/>
    <w:rsid w:val="00AB5682"/>
    <w:rsid w:val="00AC27EA"/>
    <w:rsid w:val="00AC4B41"/>
    <w:rsid w:val="00AD26B6"/>
    <w:rsid w:val="00AE2609"/>
    <w:rsid w:val="00AE2991"/>
    <w:rsid w:val="00AE4155"/>
    <w:rsid w:val="00B00357"/>
    <w:rsid w:val="00B03DB5"/>
    <w:rsid w:val="00B043F7"/>
    <w:rsid w:val="00B11C6B"/>
    <w:rsid w:val="00B14CAB"/>
    <w:rsid w:val="00B15E5E"/>
    <w:rsid w:val="00B16B18"/>
    <w:rsid w:val="00B27D27"/>
    <w:rsid w:val="00B31A37"/>
    <w:rsid w:val="00B32EC2"/>
    <w:rsid w:val="00B33C8F"/>
    <w:rsid w:val="00B40162"/>
    <w:rsid w:val="00B440C7"/>
    <w:rsid w:val="00B52EE2"/>
    <w:rsid w:val="00B55F1E"/>
    <w:rsid w:val="00B60E21"/>
    <w:rsid w:val="00B61392"/>
    <w:rsid w:val="00B70B53"/>
    <w:rsid w:val="00B72DF3"/>
    <w:rsid w:val="00B73379"/>
    <w:rsid w:val="00B73B95"/>
    <w:rsid w:val="00B744CB"/>
    <w:rsid w:val="00B75CE6"/>
    <w:rsid w:val="00B8001A"/>
    <w:rsid w:val="00B815E7"/>
    <w:rsid w:val="00B84566"/>
    <w:rsid w:val="00B85B64"/>
    <w:rsid w:val="00B86447"/>
    <w:rsid w:val="00B91A30"/>
    <w:rsid w:val="00B941E6"/>
    <w:rsid w:val="00B96A8C"/>
    <w:rsid w:val="00BA05AC"/>
    <w:rsid w:val="00BA087B"/>
    <w:rsid w:val="00BA5B16"/>
    <w:rsid w:val="00BA7155"/>
    <w:rsid w:val="00BA7C74"/>
    <w:rsid w:val="00BB1136"/>
    <w:rsid w:val="00BB2660"/>
    <w:rsid w:val="00BB3686"/>
    <w:rsid w:val="00BB67F8"/>
    <w:rsid w:val="00BB7F73"/>
    <w:rsid w:val="00BC055D"/>
    <w:rsid w:val="00BC698C"/>
    <w:rsid w:val="00BD1DBC"/>
    <w:rsid w:val="00BD2935"/>
    <w:rsid w:val="00BD34C4"/>
    <w:rsid w:val="00BD56B1"/>
    <w:rsid w:val="00BE0365"/>
    <w:rsid w:val="00BE3DC6"/>
    <w:rsid w:val="00BF4AB7"/>
    <w:rsid w:val="00BF57F2"/>
    <w:rsid w:val="00BF6D04"/>
    <w:rsid w:val="00BF7A69"/>
    <w:rsid w:val="00C011F4"/>
    <w:rsid w:val="00C0799E"/>
    <w:rsid w:val="00C1016C"/>
    <w:rsid w:val="00C10589"/>
    <w:rsid w:val="00C10C16"/>
    <w:rsid w:val="00C120C9"/>
    <w:rsid w:val="00C129F1"/>
    <w:rsid w:val="00C1691F"/>
    <w:rsid w:val="00C20509"/>
    <w:rsid w:val="00C22558"/>
    <w:rsid w:val="00C24504"/>
    <w:rsid w:val="00C261E2"/>
    <w:rsid w:val="00C31109"/>
    <w:rsid w:val="00C3268D"/>
    <w:rsid w:val="00C379D5"/>
    <w:rsid w:val="00C37A73"/>
    <w:rsid w:val="00C412AC"/>
    <w:rsid w:val="00C4330C"/>
    <w:rsid w:val="00C43F8B"/>
    <w:rsid w:val="00C45333"/>
    <w:rsid w:val="00C4613D"/>
    <w:rsid w:val="00C46A86"/>
    <w:rsid w:val="00C47E42"/>
    <w:rsid w:val="00C5026A"/>
    <w:rsid w:val="00C52FCF"/>
    <w:rsid w:val="00C560B2"/>
    <w:rsid w:val="00C57F1B"/>
    <w:rsid w:val="00C608B5"/>
    <w:rsid w:val="00C62D26"/>
    <w:rsid w:val="00C63709"/>
    <w:rsid w:val="00C64075"/>
    <w:rsid w:val="00C65491"/>
    <w:rsid w:val="00C70515"/>
    <w:rsid w:val="00C72CCF"/>
    <w:rsid w:val="00C73FDD"/>
    <w:rsid w:val="00C813F6"/>
    <w:rsid w:val="00C825AC"/>
    <w:rsid w:val="00C836B3"/>
    <w:rsid w:val="00C864BD"/>
    <w:rsid w:val="00C87824"/>
    <w:rsid w:val="00C93259"/>
    <w:rsid w:val="00C935D1"/>
    <w:rsid w:val="00C956FE"/>
    <w:rsid w:val="00CA6C5C"/>
    <w:rsid w:val="00CB43DF"/>
    <w:rsid w:val="00CB4C01"/>
    <w:rsid w:val="00CB562C"/>
    <w:rsid w:val="00CC0A4B"/>
    <w:rsid w:val="00CC2F26"/>
    <w:rsid w:val="00CC4532"/>
    <w:rsid w:val="00CC6AD6"/>
    <w:rsid w:val="00CD0FB3"/>
    <w:rsid w:val="00CD124F"/>
    <w:rsid w:val="00CD2590"/>
    <w:rsid w:val="00CD2D35"/>
    <w:rsid w:val="00CD7517"/>
    <w:rsid w:val="00CE0935"/>
    <w:rsid w:val="00CE223A"/>
    <w:rsid w:val="00CE22C6"/>
    <w:rsid w:val="00CE5BE7"/>
    <w:rsid w:val="00CF07E0"/>
    <w:rsid w:val="00CF09D6"/>
    <w:rsid w:val="00CF4402"/>
    <w:rsid w:val="00CF51AF"/>
    <w:rsid w:val="00CF6058"/>
    <w:rsid w:val="00CF62BE"/>
    <w:rsid w:val="00D00982"/>
    <w:rsid w:val="00D03F57"/>
    <w:rsid w:val="00D065CC"/>
    <w:rsid w:val="00D127A4"/>
    <w:rsid w:val="00D134B8"/>
    <w:rsid w:val="00D13766"/>
    <w:rsid w:val="00D1378B"/>
    <w:rsid w:val="00D140AE"/>
    <w:rsid w:val="00D15370"/>
    <w:rsid w:val="00D16AE0"/>
    <w:rsid w:val="00D171F6"/>
    <w:rsid w:val="00D23DF2"/>
    <w:rsid w:val="00D27765"/>
    <w:rsid w:val="00D3175E"/>
    <w:rsid w:val="00D31949"/>
    <w:rsid w:val="00D33EE3"/>
    <w:rsid w:val="00D3511E"/>
    <w:rsid w:val="00D36435"/>
    <w:rsid w:val="00D4150B"/>
    <w:rsid w:val="00D41C6D"/>
    <w:rsid w:val="00D41DA5"/>
    <w:rsid w:val="00D44DC1"/>
    <w:rsid w:val="00D45392"/>
    <w:rsid w:val="00D53265"/>
    <w:rsid w:val="00D5703B"/>
    <w:rsid w:val="00D66531"/>
    <w:rsid w:val="00D76959"/>
    <w:rsid w:val="00D76AF5"/>
    <w:rsid w:val="00D77B37"/>
    <w:rsid w:val="00D833BA"/>
    <w:rsid w:val="00D86BAD"/>
    <w:rsid w:val="00D9337E"/>
    <w:rsid w:val="00DA1D6A"/>
    <w:rsid w:val="00DA6FE5"/>
    <w:rsid w:val="00DB3539"/>
    <w:rsid w:val="00DB3817"/>
    <w:rsid w:val="00DB401C"/>
    <w:rsid w:val="00DC73E3"/>
    <w:rsid w:val="00DD30E2"/>
    <w:rsid w:val="00DD48AB"/>
    <w:rsid w:val="00DD5243"/>
    <w:rsid w:val="00DD586B"/>
    <w:rsid w:val="00DD62CE"/>
    <w:rsid w:val="00DD663A"/>
    <w:rsid w:val="00DD7618"/>
    <w:rsid w:val="00DD7E9D"/>
    <w:rsid w:val="00DE5013"/>
    <w:rsid w:val="00DE617A"/>
    <w:rsid w:val="00DF1E77"/>
    <w:rsid w:val="00DF453A"/>
    <w:rsid w:val="00DF4B46"/>
    <w:rsid w:val="00DF7822"/>
    <w:rsid w:val="00E00C5E"/>
    <w:rsid w:val="00E02203"/>
    <w:rsid w:val="00E114DE"/>
    <w:rsid w:val="00E11AC5"/>
    <w:rsid w:val="00E210E3"/>
    <w:rsid w:val="00E22B80"/>
    <w:rsid w:val="00E378E4"/>
    <w:rsid w:val="00E50B0B"/>
    <w:rsid w:val="00E50F66"/>
    <w:rsid w:val="00E51420"/>
    <w:rsid w:val="00E55648"/>
    <w:rsid w:val="00E55ACC"/>
    <w:rsid w:val="00E572FC"/>
    <w:rsid w:val="00E61B9D"/>
    <w:rsid w:val="00E646DA"/>
    <w:rsid w:val="00E664DF"/>
    <w:rsid w:val="00E703E5"/>
    <w:rsid w:val="00E717A1"/>
    <w:rsid w:val="00E73EFB"/>
    <w:rsid w:val="00E818A5"/>
    <w:rsid w:val="00E82893"/>
    <w:rsid w:val="00E82A2D"/>
    <w:rsid w:val="00E864CA"/>
    <w:rsid w:val="00E873A2"/>
    <w:rsid w:val="00E91CFC"/>
    <w:rsid w:val="00E9359C"/>
    <w:rsid w:val="00E95839"/>
    <w:rsid w:val="00EB28E2"/>
    <w:rsid w:val="00EB2E38"/>
    <w:rsid w:val="00EB48A1"/>
    <w:rsid w:val="00EB5611"/>
    <w:rsid w:val="00EB562C"/>
    <w:rsid w:val="00EB5767"/>
    <w:rsid w:val="00EC09E7"/>
    <w:rsid w:val="00ED034B"/>
    <w:rsid w:val="00ED6F90"/>
    <w:rsid w:val="00EE05B2"/>
    <w:rsid w:val="00EE06E6"/>
    <w:rsid w:val="00EE12C9"/>
    <w:rsid w:val="00EE1320"/>
    <w:rsid w:val="00EE782C"/>
    <w:rsid w:val="00EF1048"/>
    <w:rsid w:val="00EF1AC2"/>
    <w:rsid w:val="00EF4CAD"/>
    <w:rsid w:val="00EF7D10"/>
    <w:rsid w:val="00F014AF"/>
    <w:rsid w:val="00F0250A"/>
    <w:rsid w:val="00F02FBE"/>
    <w:rsid w:val="00F037C6"/>
    <w:rsid w:val="00F04C0F"/>
    <w:rsid w:val="00F0632B"/>
    <w:rsid w:val="00F07733"/>
    <w:rsid w:val="00F103CC"/>
    <w:rsid w:val="00F107E9"/>
    <w:rsid w:val="00F1480E"/>
    <w:rsid w:val="00F15023"/>
    <w:rsid w:val="00F2229C"/>
    <w:rsid w:val="00F25196"/>
    <w:rsid w:val="00F257E6"/>
    <w:rsid w:val="00F32BCF"/>
    <w:rsid w:val="00F406EB"/>
    <w:rsid w:val="00F51DEC"/>
    <w:rsid w:val="00F5213F"/>
    <w:rsid w:val="00F55AFC"/>
    <w:rsid w:val="00F55E08"/>
    <w:rsid w:val="00F5777A"/>
    <w:rsid w:val="00F602BC"/>
    <w:rsid w:val="00F628AE"/>
    <w:rsid w:val="00F652E5"/>
    <w:rsid w:val="00F65F46"/>
    <w:rsid w:val="00F675AE"/>
    <w:rsid w:val="00F714B6"/>
    <w:rsid w:val="00F8107F"/>
    <w:rsid w:val="00F82AA7"/>
    <w:rsid w:val="00F8595E"/>
    <w:rsid w:val="00F87467"/>
    <w:rsid w:val="00F90780"/>
    <w:rsid w:val="00F90EED"/>
    <w:rsid w:val="00F964B3"/>
    <w:rsid w:val="00F96957"/>
    <w:rsid w:val="00FA2541"/>
    <w:rsid w:val="00FA71F4"/>
    <w:rsid w:val="00FA7821"/>
    <w:rsid w:val="00FB53E6"/>
    <w:rsid w:val="00FB55D5"/>
    <w:rsid w:val="00FC1F1A"/>
    <w:rsid w:val="00FC23AA"/>
    <w:rsid w:val="00FC3BDD"/>
    <w:rsid w:val="00FC451B"/>
    <w:rsid w:val="00FC58DF"/>
    <w:rsid w:val="00FC7292"/>
    <w:rsid w:val="00FD0DF1"/>
    <w:rsid w:val="00FD2FCF"/>
    <w:rsid w:val="00FD5F9B"/>
    <w:rsid w:val="00FE0BB5"/>
    <w:rsid w:val="00FE3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60D2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26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Paragraph"/>
    <w:next w:val="Normal"/>
    <w:link w:val="Heading2Char"/>
    <w:uiPriority w:val="9"/>
    <w:unhideWhenUsed/>
    <w:qFormat/>
    <w:rsid w:val="00874ADD"/>
    <w:pPr>
      <w:numPr>
        <w:ilvl w:val="1"/>
        <w:numId w:val="3"/>
      </w:numPr>
      <w:tabs>
        <w:tab w:val="left" w:pos="426"/>
        <w:tab w:val="left" w:pos="851"/>
      </w:tabs>
      <w:spacing w:after="120" w:line="360" w:lineRule="auto"/>
      <w:jc w:val="both"/>
      <w:outlineLvl w:val="1"/>
    </w:pPr>
    <w:rPr>
      <w:i/>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B0C"/>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B0C"/>
    <w:pPr>
      <w:spacing w:after="0" w:line="360" w:lineRule="exact"/>
      <w:ind w:left="720"/>
      <w:contextualSpacing/>
    </w:pPr>
    <w:rPr>
      <w:rFonts w:ascii="Times New Roman" w:eastAsia="Times New Roman" w:hAnsi="Times New Roman" w:cs="Times New Roman"/>
      <w:sz w:val="24"/>
      <w:szCs w:val="20"/>
      <w:lang w:val="de-DE" w:eastAsia="de-DE"/>
    </w:rPr>
  </w:style>
  <w:style w:type="paragraph" w:styleId="CommentText">
    <w:name w:val="annotation text"/>
    <w:basedOn w:val="Normal"/>
    <w:link w:val="CommentTextChar"/>
    <w:uiPriority w:val="99"/>
    <w:rsid w:val="001F5B0C"/>
    <w:pPr>
      <w:widowControl w:val="0"/>
      <w:autoSpaceDE w:val="0"/>
      <w:autoSpaceDN w:val="0"/>
      <w:adjustRightInd w:val="0"/>
      <w:spacing w:before="120" w:after="120" w:line="240" w:lineRule="auto"/>
      <w:jc w:val="both"/>
    </w:pPr>
    <w:rPr>
      <w:rFonts w:ascii="Times New Roman" w:eastAsiaTheme="minorEastAsia" w:hAnsi="Times New Roman" w:cs="Times New Roman"/>
      <w:sz w:val="20"/>
      <w:szCs w:val="20"/>
      <w:lang w:eastAsia="en-GB"/>
    </w:rPr>
  </w:style>
  <w:style w:type="character" w:customStyle="1" w:styleId="CommentTextChar">
    <w:name w:val="Comment Text Char"/>
    <w:basedOn w:val="DefaultParagraphFont"/>
    <w:link w:val="CommentText"/>
    <w:uiPriority w:val="99"/>
    <w:rsid w:val="001F5B0C"/>
    <w:rPr>
      <w:rFonts w:ascii="Times New Roman" w:eastAsiaTheme="minorEastAsia" w:hAnsi="Times New Roman" w:cs="Times New Roman"/>
      <w:sz w:val="20"/>
      <w:szCs w:val="20"/>
      <w:lang w:eastAsia="en-GB"/>
    </w:rPr>
  </w:style>
  <w:style w:type="character" w:customStyle="1" w:styleId="DeltaViewInsertion">
    <w:name w:val="DeltaView Insertion"/>
    <w:uiPriority w:val="99"/>
    <w:rsid w:val="001F5B0C"/>
    <w:rPr>
      <w:b/>
      <w:i/>
      <w:color w:val="000000"/>
    </w:rPr>
  </w:style>
  <w:style w:type="character" w:customStyle="1" w:styleId="response-text">
    <w:name w:val="response-text"/>
    <w:basedOn w:val="DefaultParagraphFont"/>
    <w:rsid w:val="0035433F"/>
  </w:style>
  <w:style w:type="paragraph" w:styleId="Header">
    <w:name w:val="header"/>
    <w:basedOn w:val="Normal"/>
    <w:link w:val="HeaderChar"/>
    <w:rsid w:val="004C1E9E"/>
    <w:pPr>
      <w:tabs>
        <w:tab w:val="center" w:pos="4536"/>
        <w:tab w:val="right" w:pos="9072"/>
      </w:tabs>
      <w:spacing w:after="0" w:line="240" w:lineRule="auto"/>
    </w:pPr>
    <w:rPr>
      <w:rFonts w:ascii="Times New Roman" w:eastAsia="Times New Roman" w:hAnsi="Times New Roman" w:cs="Times New Roman"/>
      <w:sz w:val="20"/>
      <w:szCs w:val="20"/>
      <w:lang w:val="de-DE" w:eastAsia="de-DE"/>
    </w:rPr>
  </w:style>
  <w:style w:type="character" w:customStyle="1" w:styleId="HeaderChar">
    <w:name w:val="Header Char"/>
    <w:basedOn w:val="DefaultParagraphFont"/>
    <w:link w:val="Header"/>
    <w:rsid w:val="004C1E9E"/>
    <w:rPr>
      <w:rFonts w:ascii="Times New Roman" w:eastAsia="Times New Roman" w:hAnsi="Times New Roman" w:cs="Times New Roman"/>
      <w:sz w:val="20"/>
      <w:szCs w:val="20"/>
      <w:lang w:val="de-DE" w:eastAsia="de-DE"/>
    </w:rPr>
  </w:style>
  <w:style w:type="character" w:styleId="Hyperlink">
    <w:name w:val="Hyperlink"/>
    <w:uiPriority w:val="99"/>
    <w:rsid w:val="004C1E9E"/>
    <w:rPr>
      <w:color w:val="0000FF"/>
      <w:u w:val="single"/>
    </w:rPr>
  </w:style>
  <w:style w:type="character" w:styleId="CommentReference">
    <w:name w:val="annotation reference"/>
    <w:basedOn w:val="DefaultParagraphFont"/>
    <w:uiPriority w:val="99"/>
    <w:semiHidden/>
    <w:unhideWhenUsed/>
    <w:rsid w:val="000843A6"/>
    <w:rPr>
      <w:sz w:val="16"/>
      <w:szCs w:val="16"/>
    </w:rPr>
  </w:style>
  <w:style w:type="paragraph" w:styleId="CommentSubject">
    <w:name w:val="annotation subject"/>
    <w:basedOn w:val="CommentText"/>
    <w:next w:val="CommentText"/>
    <w:link w:val="CommentSubjectChar"/>
    <w:uiPriority w:val="99"/>
    <w:semiHidden/>
    <w:unhideWhenUsed/>
    <w:rsid w:val="000843A6"/>
    <w:pPr>
      <w:widowControl/>
      <w:autoSpaceDE/>
      <w:autoSpaceDN/>
      <w:adjustRightInd/>
      <w:spacing w:before="0" w:after="20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843A6"/>
    <w:rPr>
      <w:rFonts w:ascii="Times New Roman" w:eastAsiaTheme="minorEastAsia" w:hAnsi="Times New Roman" w:cs="Times New Roman"/>
      <w:b/>
      <w:bCs/>
      <w:sz w:val="20"/>
      <w:szCs w:val="20"/>
      <w:lang w:eastAsia="en-GB"/>
    </w:rPr>
  </w:style>
  <w:style w:type="paragraph" w:styleId="BalloonText">
    <w:name w:val="Balloon Text"/>
    <w:basedOn w:val="Normal"/>
    <w:link w:val="BalloonTextChar"/>
    <w:uiPriority w:val="99"/>
    <w:semiHidden/>
    <w:unhideWhenUsed/>
    <w:rsid w:val="00084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3A6"/>
    <w:rPr>
      <w:rFonts w:ascii="Segoe UI" w:hAnsi="Segoe UI" w:cs="Segoe UI"/>
      <w:sz w:val="18"/>
      <w:szCs w:val="18"/>
    </w:rPr>
  </w:style>
  <w:style w:type="paragraph" w:styleId="ListNumber">
    <w:name w:val="List Number"/>
    <w:basedOn w:val="Normal"/>
    <w:rsid w:val="00AA6E16"/>
    <w:pPr>
      <w:numPr>
        <w:numId w:val="1"/>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A6E16"/>
    <w:pPr>
      <w:numPr>
        <w:ilvl w:val="2"/>
        <w:numId w:val="1"/>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A6E16"/>
    <w:pPr>
      <w:numPr>
        <w:ilvl w:val="3"/>
        <w:numId w:val="1"/>
      </w:numPr>
      <w:spacing w:after="240" w:line="240" w:lineRule="auto"/>
      <w:jc w:val="both"/>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9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59C"/>
  </w:style>
  <w:style w:type="character" w:customStyle="1" w:styleId="Heading1Char">
    <w:name w:val="Heading 1 Char"/>
    <w:basedOn w:val="DefaultParagraphFont"/>
    <w:link w:val="Heading1"/>
    <w:uiPriority w:val="9"/>
    <w:rsid w:val="00AE260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E2609"/>
    <w:pPr>
      <w:spacing w:line="259" w:lineRule="auto"/>
      <w:outlineLvl w:val="9"/>
    </w:pPr>
    <w:rPr>
      <w:lang w:val="en-US"/>
    </w:rPr>
  </w:style>
  <w:style w:type="paragraph" w:styleId="TOC1">
    <w:name w:val="toc 1"/>
    <w:basedOn w:val="Normal"/>
    <w:next w:val="Normal"/>
    <w:autoRedefine/>
    <w:uiPriority w:val="39"/>
    <w:unhideWhenUsed/>
    <w:rsid w:val="007D50B7"/>
    <w:pPr>
      <w:tabs>
        <w:tab w:val="right" w:leader="dot" w:pos="9062"/>
      </w:tabs>
      <w:spacing w:after="100"/>
    </w:pPr>
  </w:style>
  <w:style w:type="paragraph" w:styleId="Revision">
    <w:name w:val="Revision"/>
    <w:hidden/>
    <w:uiPriority w:val="99"/>
    <w:semiHidden/>
    <w:rsid w:val="00542333"/>
    <w:pPr>
      <w:spacing w:after="0" w:line="240" w:lineRule="auto"/>
    </w:pPr>
  </w:style>
  <w:style w:type="character" w:styleId="FollowedHyperlink">
    <w:name w:val="FollowedHyperlink"/>
    <w:basedOn w:val="DefaultParagraphFont"/>
    <w:uiPriority w:val="99"/>
    <w:semiHidden/>
    <w:unhideWhenUsed/>
    <w:rsid w:val="009A67D6"/>
    <w:rPr>
      <w:color w:val="800080" w:themeColor="followedHyperlink"/>
      <w:u w:val="single"/>
    </w:rPr>
  </w:style>
  <w:style w:type="paragraph" w:styleId="FootnoteText">
    <w:name w:val="footnote text"/>
    <w:basedOn w:val="Normal"/>
    <w:link w:val="FootnoteTextChar"/>
    <w:uiPriority w:val="99"/>
    <w:semiHidden/>
    <w:unhideWhenUsed/>
    <w:rsid w:val="00103A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3AB6"/>
    <w:rPr>
      <w:sz w:val="20"/>
      <w:szCs w:val="20"/>
    </w:rPr>
  </w:style>
  <w:style w:type="character" w:styleId="FootnoteReference">
    <w:name w:val="footnote reference"/>
    <w:basedOn w:val="DefaultParagraphFont"/>
    <w:uiPriority w:val="99"/>
    <w:semiHidden/>
    <w:unhideWhenUsed/>
    <w:rsid w:val="00103AB6"/>
    <w:rPr>
      <w:vertAlign w:val="superscript"/>
    </w:rPr>
  </w:style>
  <w:style w:type="paragraph" w:styleId="HTMLPreformatted">
    <w:name w:val="HTML Preformatted"/>
    <w:basedOn w:val="Normal"/>
    <w:link w:val="HTMLPreformattedChar"/>
    <w:uiPriority w:val="99"/>
    <w:semiHidden/>
    <w:unhideWhenUsed/>
    <w:rsid w:val="00103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PreformattedChar">
    <w:name w:val="HTML Preformatted Char"/>
    <w:basedOn w:val="DefaultParagraphFont"/>
    <w:link w:val="HTMLPreformatted"/>
    <w:uiPriority w:val="99"/>
    <w:semiHidden/>
    <w:rsid w:val="00103AB6"/>
    <w:rPr>
      <w:rFonts w:ascii="Courier New" w:eastAsia="Times New Roman" w:hAnsi="Courier New" w:cs="Courier New"/>
      <w:sz w:val="20"/>
      <w:szCs w:val="20"/>
      <w:lang w:val="pl-PL" w:eastAsia="pl-PL"/>
    </w:rPr>
  </w:style>
  <w:style w:type="paragraph" w:customStyle="1" w:styleId="li1">
    <w:name w:val="li1"/>
    <w:basedOn w:val="Normal"/>
    <w:rsid w:val="00F037C6"/>
    <w:pPr>
      <w:spacing w:after="0" w:line="240" w:lineRule="auto"/>
    </w:pPr>
    <w:rPr>
      <w:rFonts w:ascii="Helvetica Neue" w:eastAsia="Times New Roman" w:hAnsi="Helvetica Neue" w:cs="Times New Roman"/>
      <w:sz w:val="18"/>
      <w:szCs w:val="18"/>
      <w:lang w:val="en-IE" w:eastAsia="en-IE"/>
    </w:rPr>
  </w:style>
  <w:style w:type="character" w:customStyle="1" w:styleId="Heading2Char">
    <w:name w:val="Heading 2 Char"/>
    <w:basedOn w:val="DefaultParagraphFont"/>
    <w:link w:val="Heading2"/>
    <w:uiPriority w:val="9"/>
    <w:rsid w:val="00874ADD"/>
    <w:rPr>
      <w:rFonts w:ascii="Times New Roman" w:eastAsia="Times New Roman" w:hAnsi="Times New Roman" w:cs="Times New Roman"/>
      <w:i/>
      <w:sz w:val="24"/>
      <w:szCs w:val="24"/>
      <w:lang w:eastAsia="de-DE"/>
    </w:rPr>
  </w:style>
  <w:style w:type="paragraph" w:styleId="TOC2">
    <w:name w:val="toc 2"/>
    <w:basedOn w:val="Normal"/>
    <w:next w:val="Normal"/>
    <w:autoRedefine/>
    <w:uiPriority w:val="39"/>
    <w:unhideWhenUsed/>
    <w:rsid w:val="00541FAE"/>
    <w:pPr>
      <w:spacing w:after="100"/>
      <w:ind w:left="220"/>
    </w:pPr>
  </w:style>
  <w:style w:type="paragraph" w:customStyle="1" w:styleId="ZCom">
    <w:name w:val="Z_Com"/>
    <w:basedOn w:val="Normal"/>
    <w:next w:val="ZDGName"/>
    <w:uiPriority w:val="2"/>
    <w:rsid w:val="00E55ACC"/>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
    <w:uiPriority w:val="2"/>
    <w:rsid w:val="00E55ACC"/>
    <w:pPr>
      <w:widowControl w:val="0"/>
      <w:autoSpaceDE w:val="0"/>
      <w:autoSpaceDN w:val="0"/>
      <w:spacing w:after="0" w:line="240" w:lineRule="auto"/>
      <w:ind w:right="85"/>
    </w:pPr>
    <w:rPr>
      <w:rFonts w:ascii="Arial" w:eastAsia="Times New Roman" w:hAnsi="Arial" w:cs="Arial"/>
      <w:sz w:val="16"/>
      <w:szCs w:val="16"/>
      <w:lang w:eastAsia="en-GB"/>
    </w:rPr>
  </w:style>
  <w:style w:type="paragraph" w:customStyle="1" w:styleId="ZFlag">
    <w:name w:val="Z_Flag"/>
    <w:basedOn w:val="Normal"/>
    <w:next w:val="Normal"/>
    <w:uiPriority w:val="2"/>
    <w:rsid w:val="00E55ACC"/>
    <w:pPr>
      <w:widowControl w:val="0"/>
      <w:spacing w:after="0" w:line="240" w:lineRule="auto"/>
      <w:ind w:right="85"/>
      <w:jc w:val="both"/>
    </w:pPr>
    <w:rPr>
      <w:rFonts w:ascii="Times New Roman" w:eastAsia="Times New Roman" w:hAnsi="Times New Roman" w:cs="Times New Roman"/>
      <w:sz w:val="24"/>
      <w:szCs w:val="20"/>
      <w:lang w:eastAsia="en-GB"/>
    </w:rPr>
  </w:style>
  <w:style w:type="character" w:styleId="Emphasis">
    <w:name w:val="Emphasis"/>
    <w:basedOn w:val="DefaultParagraphFont"/>
    <w:uiPriority w:val="20"/>
    <w:qFormat/>
    <w:rsid w:val="00963350"/>
    <w:rPr>
      <w:i/>
      <w:iCs/>
    </w:rPr>
  </w:style>
  <w:style w:type="table" w:customStyle="1" w:styleId="TableLetterhead">
    <w:name w:val="Table Letterhead"/>
    <w:basedOn w:val="TableNormal"/>
    <w:semiHidden/>
    <w:rsid w:val="009A1E6D"/>
    <w:pPr>
      <w:spacing w:after="0" w:line="240" w:lineRule="auto"/>
    </w:pPr>
    <w:rPr>
      <w:rFonts w:ascii="Times New Roman" w:eastAsia="Times New Roman" w:hAnsi="Times New Roman" w:cs="Times New Roman"/>
      <w:sz w:val="24"/>
      <w:szCs w:val="20"/>
      <w:lang w:eastAsia="en-IE"/>
    </w:rPr>
    <w:tblPr>
      <w:tblCellMar>
        <w:left w:w="0" w:type="dxa"/>
        <w:bottom w:w="340" w:type="dxa"/>
        <w:right w:w="0" w:type="dxa"/>
      </w:tblCellMar>
    </w:tblPr>
  </w:style>
  <w:style w:type="paragraph" w:styleId="NormalWeb">
    <w:name w:val="Normal (Web)"/>
    <w:basedOn w:val="Normal"/>
    <w:uiPriority w:val="99"/>
    <w:semiHidden/>
    <w:unhideWhenUsed/>
    <w:rsid w:val="001E73C0"/>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0569">
      <w:bodyDiv w:val="1"/>
      <w:marLeft w:val="0"/>
      <w:marRight w:val="0"/>
      <w:marTop w:val="0"/>
      <w:marBottom w:val="0"/>
      <w:divBdr>
        <w:top w:val="none" w:sz="0" w:space="0" w:color="auto"/>
        <w:left w:val="none" w:sz="0" w:space="0" w:color="auto"/>
        <w:bottom w:val="none" w:sz="0" w:space="0" w:color="auto"/>
        <w:right w:val="none" w:sz="0" w:space="0" w:color="auto"/>
      </w:divBdr>
    </w:div>
    <w:div w:id="122114832">
      <w:bodyDiv w:val="1"/>
      <w:marLeft w:val="0"/>
      <w:marRight w:val="0"/>
      <w:marTop w:val="0"/>
      <w:marBottom w:val="0"/>
      <w:divBdr>
        <w:top w:val="none" w:sz="0" w:space="0" w:color="auto"/>
        <w:left w:val="none" w:sz="0" w:space="0" w:color="auto"/>
        <w:bottom w:val="none" w:sz="0" w:space="0" w:color="auto"/>
        <w:right w:val="none" w:sz="0" w:space="0" w:color="auto"/>
      </w:divBdr>
    </w:div>
    <w:div w:id="168062548">
      <w:bodyDiv w:val="1"/>
      <w:marLeft w:val="0"/>
      <w:marRight w:val="0"/>
      <w:marTop w:val="0"/>
      <w:marBottom w:val="0"/>
      <w:divBdr>
        <w:top w:val="none" w:sz="0" w:space="0" w:color="auto"/>
        <w:left w:val="none" w:sz="0" w:space="0" w:color="auto"/>
        <w:bottom w:val="none" w:sz="0" w:space="0" w:color="auto"/>
        <w:right w:val="none" w:sz="0" w:space="0" w:color="auto"/>
      </w:divBdr>
    </w:div>
    <w:div w:id="179055437">
      <w:bodyDiv w:val="1"/>
      <w:marLeft w:val="0"/>
      <w:marRight w:val="0"/>
      <w:marTop w:val="0"/>
      <w:marBottom w:val="0"/>
      <w:divBdr>
        <w:top w:val="none" w:sz="0" w:space="0" w:color="auto"/>
        <w:left w:val="none" w:sz="0" w:space="0" w:color="auto"/>
        <w:bottom w:val="none" w:sz="0" w:space="0" w:color="auto"/>
        <w:right w:val="none" w:sz="0" w:space="0" w:color="auto"/>
      </w:divBdr>
    </w:div>
    <w:div w:id="191774362">
      <w:bodyDiv w:val="1"/>
      <w:marLeft w:val="0"/>
      <w:marRight w:val="0"/>
      <w:marTop w:val="0"/>
      <w:marBottom w:val="0"/>
      <w:divBdr>
        <w:top w:val="none" w:sz="0" w:space="0" w:color="auto"/>
        <w:left w:val="none" w:sz="0" w:space="0" w:color="auto"/>
        <w:bottom w:val="none" w:sz="0" w:space="0" w:color="auto"/>
        <w:right w:val="none" w:sz="0" w:space="0" w:color="auto"/>
      </w:divBdr>
    </w:div>
    <w:div w:id="378165484">
      <w:bodyDiv w:val="1"/>
      <w:marLeft w:val="0"/>
      <w:marRight w:val="0"/>
      <w:marTop w:val="0"/>
      <w:marBottom w:val="0"/>
      <w:divBdr>
        <w:top w:val="none" w:sz="0" w:space="0" w:color="auto"/>
        <w:left w:val="none" w:sz="0" w:space="0" w:color="auto"/>
        <w:bottom w:val="none" w:sz="0" w:space="0" w:color="auto"/>
        <w:right w:val="none" w:sz="0" w:space="0" w:color="auto"/>
      </w:divBdr>
    </w:div>
    <w:div w:id="435104455">
      <w:bodyDiv w:val="1"/>
      <w:marLeft w:val="0"/>
      <w:marRight w:val="0"/>
      <w:marTop w:val="0"/>
      <w:marBottom w:val="0"/>
      <w:divBdr>
        <w:top w:val="none" w:sz="0" w:space="0" w:color="auto"/>
        <w:left w:val="none" w:sz="0" w:space="0" w:color="auto"/>
        <w:bottom w:val="none" w:sz="0" w:space="0" w:color="auto"/>
        <w:right w:val="none" w:sz="0" w:space="0" w:color="auto"/>
      </w:divBdr>
    </w:div>
    <w:div w:id="545066818">
      <w:bodyDiv w:val="1"/>
      <w:marLeft w:val="0"/>
      <w:marRight w:val="0"/>
      <w:marTop w:val="0"/>
      <w:marBottom w:val="0"/>
      <w:divBdr>
        <w:top w:val="none" w:sz="0" w:space="0" w:color="auto"/>
        <w:left w:val="none" w:sz="0" w:space="0" w:color="auto"/>
        <w:bottom w:val="none" w:sz="0" w:space="0" w:color="auto"/>
        <w:right w:val="none" w:sz="0" w:space="0" w:color="auto"/>
      </w:divBdr>
    </w:div>
    <w:div w:id="795878845">
      <w:bodyDiv w:val="1"/>
      <w:marLeft w:val="0"/>
      <w:marRight w:val="0"/>
      <w:marTop w:val="0"/>
      <w:marBottom w:val="0"/>
      <w:divBdr>
        <w:top w:val="none" w:sz="0" w:space="0" w:color="auto"/>
        <w:left w:val="none" w:sz="0" w:space="0" w:color="auto"/>
        <w:bottom w:val="none" w:sz="0" w:space="0" w:color="auto"/>
        <w:right w:val="none" w:sz="0" w:space="0" w:color="auto"/>
      </w:divBdr>
    </w:div>
    <w:div w:id="934095955">
      <w:bodyDiv w:val="1"/>
      <w:marLeft w:val="0"/>
      <w:marRight w:val="0"/>
      <w:marTop w:val="0"/>
      <w:marBottom w:val="0"/>
      <w:divBdr>
        <w:top w:val="none" w:sz="0" w:space="0" w:color="auto"/>
        <w:left w:val="none" w:sz="0" w:space="0" w:color="auto"/>
        <w:bottom w:val="none" w:sz="0" w:space="0" w:color="auto"/>
        <w:right w:val="none" w:sz="0" w:space="0" w:color="auto"/>
      </w:divBdr>
    </w:div>
    <w:div w:id="948195555">
      <w:bodyDiv w:val="1"/>
      <w:marLeft w:val="0"/>
      <w:marRight w:val="0"/>
      <w:marTop w:val="0"/>
      <w:marBottom w:val="0"/>
      <w:divBdr>
        <w:top w:val="none" w:sz="0" w:space="0" w:color="auto"/>
        <w:left w:val="none" w:sz="0" w:space="0" w:color="auto"/>
        <w:bottom w:val="none" w:sz="0" w:space="0" w:color="auto"/>
        <w:right w:val="none" w:sz="0" w:space="0" w:color="auto"/>
      </w:divBdr>
    </w:div>
    <w:div w:id="957905690">
      <w:bodyDiv w:val="1"/>
      <w:marLeft w:val="0"/>
      <w:marRight w:val="0"/>
      <w:marTop w:val="0"/>
      <w:marBottom w:val="0"/>
      <w:divBdr>
        <w:top w:val="none" w:sz="0" w:space="0" w:color="auto"/>
        <w:left w:val="none" w:sz="0" w:space="0" w:color="auto"/>
        <w:bottom w:val="none" w:sz="0" w:space="0" w:color="auto"/>
        <w:right w:val="none" w:sz="0" w:space="0" w:color="auto"/>
      </w:divBdr>
    </w:div>
    <w:div w:id="1005471741">
      <w:bodyDiv w:val="1"/>
      <w:marLeft w:val="0"/>
      <w:marRight w:val="0"/>
      <w:marTop w:val="0"/>
      <w:marBottom w:val="0"/>
      <w:divBdr>
        <w:top w:val="none" w:sz="0" w:space="0" w:color="auto"/>
        <w:left w:val="none" w:sz="0" w:space="0" w:color="auto"/>
        <w:bottom w:val="none" w:sz="0" w:space="0" w:color="auto"/>
        <w:right w:val="none" w:sz="0" w:space="0" w:color="auto"/>
      </w:divBdr>
    </w:div>
    <w:div w:id="1009529848">
      <w:bodyDiv w:val="1"/>
      <w:marLeft w:val="0"/>
      <w:marRight w:val="0"/>
      <w:marTop w:val="0"/>
      <w:marBottom w:val="0"/>
      <w:divBdr>
        <w:top w:val="none" w:sz="0" w:space="0" w:color="auto"/>
        <w:left w:val="none" w:sz="0" w:space="0" w:color="auto"/>
        <w:bottom w:val="none" w:sz="0" w:space="0" w:color="auto"/>
        <w:right w:val="none" w:sz="0" w:space="0" w:color="auto"/>
      </w:divBdr>
    </w:div>
    <w:div w:id="1032413170">
      <w:bodyDiv w:val="1"/>
      <w:marLeft w:val="0"/>
      <w:marRight w:val="0"/>
      <w:marTop w:val="0"/>
      <w:marBottom w:val="0"/>
      <w:divBdr>
        <w:top w:val="none" w:sz="0" w:space="0" w:color="auto"/>
        <w:left w:val="none" w:sz="0" w:space="0" w:color="auto"/>
        <w:bottom w:val="none" w:sz="0" w:space="0" w:color="auto"/>
        <w:right w:val="none" w:sz="0" w:space="0" w:color="auto"/>
      </w:divBdr>
    </w:div>
    <w:div w:id="1038165207">
      <w:bodyDiv w:val="1"/>
      <w:marLeft w:val="0"/>
      <w:marRight w:val="0"/>
      <w:marTop w:val="0"/>
      <w:marBottom w:val="0"/>
      <w:divBdr>
        <w:top w:val="none" w:sz="0" w:space="0" w:color="auto"/>
        <w:left w:val="none" w:sz="0" w:space="0" w:color="auto"/>
        <w:bottom w:val="none" w:sz="0" w:space="0" w:color="auto"/>
        <w:right w:val="none" w:sz="0" w:space="0" w:color="auto"/>
      </w:divBdr>
    </w:div>
    <w:div w:id="1070080122">
      <w:bodyDiv w:val="1"/>
      <w:marLeft w:val="0"/>
      <w:marRight w:val="0"/>
      <w:marTop w:val="0"/>
      <w:marBottom w:val="0"/>
      <w:divBdr>
        <w:top w:val="none" w:sz="0" w:space="0" w:color="auto"/>
        <w:left w:val="none" w:sz="0" w:space="0" w:color="auto"/>
        <w:bottom w:val="none" w:sz="0" w:space="0" w:color="auto"/>
        <w:right w:val="none" w:sz="0" w:space="0" w:color="auto"/>
      </w:divBdr>
    </w:div>
    <w:div w:id="1190755424">
      <w:bodyDiv w:val="1"/>
      <w:marLeft w:val="0"/>
      <w:marRight w:val="0"/>
      <w:marTop w:val="0"/>
      <w:marBottom w:val="0"/>
      <w:divBdr>
        <w:top w:val="none" w:sz="0" w:space="0" w:color="auto"/>
        <w:left w:val="none" w:sz="0" w:space="0" w:color="auto"/>
        <w:bottom w:val="none" w:sz="0" w:space="0" w:color="auto"/>
        <w:right w:val="none" w:sz="0" w:space="0" w:color="auto"/>
      </w:divBdr>
    </w:div>
    <w:div w:id="1233615259">
      <w:bodyDiv w:val="1"/>
      <w:marLeft w:val="0"/>
      <w:marRight w:val="0"/>
      <w:marTop w:val="0"/>
      <w:marBottom w:val="0"/>
      <w:divBdr>
        <w:top w:val="none" w:sz="0" w:space="0" w:color="auto"/>
        <w:left w:val="none" w:sz="0" w:space="0" w:color="auto"/>
        <w:bottom w:val="none" w:sz="0" w:space="0" w:color="auto"/>
        <w:right w:val="none" w:sz="0" w:space="0" w:color="auto"/>
      </w:divBdr>
    </w:div>
    <w:div w:id="1284118561">
      <w:bodyDiv w:val="1"/>
      <w:marLeft w:val="0"/>
      <w:marRight w:val="0"/>
      <w:marTop w:val="0"/>
      <w:marBottom w:val="0"/>
      <w:divBdr>
        <w:top w:val="none" w:sz="0" w:space="0" w:color="auto"/>
        <w:left w:val="none" w:sz="0" w:space="0" w:color="auto"/>
        <w:bottom w:val="none" w:sz="0" w:space="0" w:color="auto"/>
        <w:right w:val="none" w:sz="0" w:space="0" w:color="auto"/>
      </w:divBdr>
    </w:div>
    <w:div w:id="1504391243">
      <w:bodyDiv w:val="1"/>
      <w:marLeft w:val="0"/>
      <w:marRight w:val="0"/>
      <w:marTop w:val="0"/>
      <w:marBottom w:val="0"/>
      <w:divBdr>
        <w:top w:val="none" w:sz="0" w:space="0" w:color="auto"/>
        <w:left w:val="none" w:sz="0" w:space="0" w:color="auto"/>
        <w:bottom w:val="none" w:sz="0" w:space="0" w:color="auto"/>
        <w:right w:val="none" w:sz="0" w:space="0" w:color="auto"/>
      </w:divBdr>
    </w:div>
    <w:div w:id="1628009420">
      <w:bodyDiv w:val="1"/>
      <w:marLeft w:val="0"/>
      <w:marRight w:val="0"/>
      <w:marTop w:val="0"/>
      <w:marBottom w:val="0"/>
      <w:divBdr>
        <w:top w:val="none" w:sz="0" w:space="0" w:color="auto"/>
        <w:left w:val="none" w:sz="0" w:space="0" w:color="auto"/>
        <w:bottom w:val="none" w:sz="0" w:space="0" w:color="auto"/>
        <w:right w:val="none" w:sz="0" w:space="0" w:color="auto"/>
      </w:divBdr>
    </w:div>
    <w:div w:id="1805655317">
      <w:bodyDiv w:val="1"/>
      <w:marLeft w:val="0"/>
      <w:marRight w:val="0"/>
      <w:marTop w:val="0"/>
      <w:marBottom w:val="0"/>
      <w:divBdr>
        <w:top w:val="none" w:sz="0" w:space="0" w:color="auto"/>
        <w:left w:val="none" w:sz="0" w:space="0" w:color="auto"/>
        <w:bottom w:val="none" w:sz="0" w:space="0" w:color="auto"/>
        <w:right w:val="none" w:sz="0" w:space="0" w:color="auto"/>
      </w:divBdr>
    </w:div>
    <w:div w:id="1945383120">
      <w:bodyDiv w:val="1"/>
      <w:marLeft w:val="0"/>
      <w:marRight w:val="0"/>
      <w:marTop w:val="0"/>
      <w:marBottom w:val="0"/>
      <w:divBdr>
        <w:top w:val="none" w:sz="0" w:space="0" w:color="auto"/>
        <w:left w:val="none" w:sz="0" w:space="0" w:color="auto"/>
        <w:bottom w:val="none" w:sz="0" w:space="0" w:color="auto"/>
        <w:right w:val="none" w:sz="0" w:space="0" w:color="auto"/>
      </w:divBdr>
    </w:div>
    <w:div w:id="1998145693">
      <w:bodyDiv w:val="1"/>
      <w:marLeft w:val="0"/>
      <w:marRight w:val="0"/>
      <w:marTop w:val="0"/>
      <w:marBottom w:val="0"/>
      <w:divBdr>
        <w:top w:val="none" w:sz="0" w:space="0" w:color="auto"/>
        <w:left w:val="none" w:sz="0" w:space="0" w:color="auto"/>
        <w:bottom w:val="none" w:sz="0" w:space="0" w:color="auto"/>
        <w:right w:val="none" w:sz="0" w:space="0" w:color="auto"/>
      </w:divBdr>
    </w:div>
    <w:div w:id="2030178019">
      <w:bodyDiv w:val="1"/>
      <w:marLeft w:val="0"/>
      <w:marRight w:val="0"/>
      <w:marTop w:val="0"/>
      <w:marBottom w:val="0"/>
      <w:divBdr>
        <w:top w:val="none" w:sz="0" w:space="0" w:color="auto"/>
        <w:left w:val="none" w:sz="0" w:space="0" w:color="auto"/>
        <w:bottom w:val="none" w:sz="0" w:space="0" w:color="auto"/>
        <w:right w:val="none" w:sz="0" w:space="0" w:color="auto"/>
      </w:divBdr>
    </w:div>
    <w:div w:id="2092699277">
      <w:bodyDiv w:val="1"/>
      <w:marLeft w:val="0"/>
      <w:marRight w:val="0"/>
      <w:marTop w:val="0"/>
      <w:marBottom w:val="0"/>
      <w:divBdr>
        <w:top w:val="none" w:sz="0" w:space="0" w:color="auto"/>
        <w:left w:val="none" w:sz="0" w:space="0" w:color="auto"/>
        <w:bottom w:val="none" w:sz="0" w:space="0" w:color="auto"/>
        <w:right w:val="none" w:sz="0" w:space="0" w:color="auto"/>
      </w:divBdr>
    </w:div>
    <w:div w:id="214160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ur-lex.europa.eu/legal-content/EN/TXT/?uri=CELEX%3A32019R1009" TargetMode="External"/><Relationship Id="rId21" Type="http://schemas.openxmlformats.org/officeDocument/2006/relationships/hyperlink" Target="https://eur-lex.europa.eu/legal-content/EN/TXT/?uri=celex%3A32009R1107" TargetMode="External"/><Relationship Id="rId42" Type="http://schemas.openxmlformats.org/officeDocument/2006/relationships/hyperlink" Target="https://eur-lex.europa.eu/legal-content/EN/TXT/?uri=CELEX%3A32019R1009" TargetMode="External"/><Relationship Id="rId63" Type="http://schemas.openxmlformats.org/officeDocument/2006/relationships/hyperlink" Target="https://eur-lex.europa.eu/legal-content/en/ALL/?uri=CELEX%3A32009R1069" TargetMode="External"/><Relationship Id="rId84" Type="http://schemas.openxmlformats.org/officeDocument/2006/relationships/hyperlink" Target="https://eur-lex.europa.eu/legal-content/EN/TXT/?uri=CELEX%3A32019R1009" TargetMode="External"/><Relationship Id="rId16" Type="http://schemas.openxmlformats.org/officeDocument/2006/relationships/hyperlink" Target="https://eur-lex.europa.eu/legal-content/EN/TXT/?uri=CELEX%3A32019R1009" TargetMode="External"/><Relationship Id="rId107" Type="http://schemas.openxmlformats.org/officeDocument/2006/relationships/hyperlink" Target="https://eur-lex.europa.eu/legal-content/EN/TXT/?uri=CELEX%3A32019R1009" TargetMode="External"/><Relationship Id="rId11" Type="http://schemas.openxmlformats.org/officeDocument/2006/relationships/hyperlink" Target="https://eur-lex.europa.eu/legal-content/en/ALL/?uri=CELEX%3A32009R1069" TargetMode="External"/><Relationship Id="rId32" Type="http://schemas.openxmlformats.org/officeDocument/2006/relationships/hyperlink" Target="https://eur-lex.europa.eu/legal-content/EN/TXT/?uri=CELEX%3A32019R1009" TargetMode="External"/><Relationship Id="rId37" Type="http://schemas.openxmlformats.org/officeDocument/2006/relationships/hyperlink" Target="https://eur-lex.europa.eu/legal-content/EN/TXT/?uri=CELEX%3A32019R1009" TargetMode="External"/><Relationship Id="rId53" Type="http://schemas.openxmlformats.org/officeDocument/2006/relationships/hyperlink" Target="https://eur-lex.europa.eu/legal-content/EN/TXT/?uri=CELEX%3A32019R1009" TargetMode="External"/><Relationship Id="rId58" Type="http://schemas.openxmlformats.org/officeDocument/2006/relationships/hyperlink" Target="https://ec.europa.eu/growth/tools-databases/nando/index.cfm?fuseaction=na.main" TargetMode="External"/><Relationship Id="rId74" Type="http://schemas.openxmlformats.org/officeDocument/2006/relationships/hyperlink" Target="https://eur-lex.europa.eu/legal-content/EN/TXT/?uri=CELEX%3A32019R1009" TargetMode="External"/><Relationship Id="rId79" Type="http://schemas.openxmlformats.org/officeDocument/2006/relationships/hyperlink" Target="https://eur-lex.europa.eu/legal-content/EN/TXT/?uri=CELEX%3A32019R1009" TargetMode="External"/><Relationship Id="rId102" Type="http://schemas.openxmlformats.org/officeDocument/2006/relationships/hyperlink" Target="https://eur-lex.europa.eu/legal-content/en/ALL/?uri=CELEX%3A32009R1069" TargetMode="External"/><Relationship Id="rId123" Type="http://schemas.openxmlformats.org/officeDocument/2006/relationships/hyperlink" Target="https://eur-lex.europa.eu/legal-content/EN/TXT/?uri=CELEX%3A32019R1009" TargetMode="External"/><Relationship Id="rId128"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https://eur-lex.europa.eu/legal-content/EN/TXT/?uri=CELEX%3A32019R1009" TargetMode="External"/><Relationship Id="rId95" Type="http://schemas.openxmlformats.org/officeDocument/2006/relationships/hyperlink" Target="https://eur-lex.europa.eu/legal-content/EN/TXT/?uri=CELEX%3A32019R1009" TargetMode="External"/><Relationship Id="rId22" Type="http://schemas.openxmlformats.org/officeDocument/2006/relationships/hyperlink" Target="https://eur-lex.europa.eu/legal-content/EN/TXT/?uri=celex%3A32009R1107" TargetMode="External"/><Relationship Id="rId27" Type="http://schemas.openxmlformats.org/officeDocument/2006/relationships/hyperlink" Target="https://eur-lex.europa.eu/legal-content/en/ALL/?uri=CELEX%3A32009R1069" TargetMode="External"/><Relationship Id="rId43" Type="http://schemas.openxmlformats.org/officeDocument/2006/relationships/hyperlink" Target="https://eur-lex.europa.eu/legal-content/EN/TXT/?uri=CELEX%3A32019R1009" TargetMode="External"/><Relationship Id="rId48" Type="http://schemas.openxmlformats.org/officeDocument/2006/relationships/hyperlink" Target="https://eur-lex.europa.eu/legal-content/EN/TXT/?uri=CELEX%3A32019R1009" TargetMode="External"/><Relationship Id="rId64" Type="http://schemas.openxmlformats.org/officeDocument/2006/relationships/hyperlink" Target="https://eur-lex.europa.eu/legal-content/EN/TXT/?uri=CELEX%3A32019R1009" TargetMode="External"/><Relationship Id="rId69" Type="http://schemas.openxmlformats.org/officeDocument/2006/relationships/hyperlink" Target="https://eur-lex.europa.eu/legal-content/EN/TXT/?uri=CELEX%3A32019R1009" TargetMode="External"/><Relationship Id="rId113" Type="http://schemas.openxmlformats.org/officeDocument/2006/relationships/hyperlink" Target="https://circabc.europa.eu/ui/group/36ec94c7-575b-44dc-a6e9-4ace02907f2f/library/38b3456e-6e9f-45ae-bf51-697b7a477a1f/details" TargetMode="External"/><Relationship Id="rId118" Type="http://schemas.openxmlformats.org/officeDocument/2006/relationships/hyperlink" Target="https://eur-lex.europa.eu/legal-content/EN/TXT/?uri=CELEX%3A32019R1009" TargetMode="External"/><Relationship Id="rId134" Type="http://schemas.openxmlformats.org/officeDocument/2006/relationships/theme" Target="theme/theme1.xml"/><Relationship Id="rId80" Type="http://schemas.openxmlformats.org/officeDocument/2006/relationships/hyperlink" Target="https://eur-lex.europa.eu/legal-content/EN/TXT/?uri=CELEX%3A32019R1009" TargetMode="External"/><Relationship Id="rId85" Type="http://schemas.openxmlformats.org/officeDocument/2006/relationships/hyperlink" Target="https://eur-lex.europa.eu/legal-content/en/ALL/?uri=CELEX%3A32009R1069" TargetMode="External"/><Relationship Id="rId12" Type="http://schemas.openxmlformats.org/officeDocument/2006/relationships/hyperlink" Target="https://eur-lex.europa.eu/legal-content/EN/TXT/?uri=CELEX%3A32019R1009" TargetMode="External"/><Relationship Id="rId17" Type="http://schemas.openxmlformats.org/officeDocument/2006/relationships/hyperlink" Target="https://eur-lex.europa.eu/legal-content/EN/TXT/?uri=celex%3A32009R1107" TargetMode="External"/><Relationship Id="rId33" Type="http://schemas.openxmlformats.org/officeDocument/2006/relationships/hyperlink" Target="https://eur-lex.europa.eu/legal-content/EN/TXT/?uri=CELEX%3A32019R1009" TargetMode="External"/><Relationship Id="rId38" Type="http://schemas.openxmlformats.org/officeDocument/2006/relationships/hyperlink" Target="https://eur-lex.europa.eu/legal-content/EN/TXT/?uri=CELEX%3A32019R1009" TargetMode="External"/><Relationship Id="rId59" Type="http://schemas.openxmlformats.org/officeDocument/2006/relationships/hyperlink" Target="https://eur-lex.europa.eu/legal-content/EN/TXT/?uri=CELEX%3A32019R1009" TargetMode="External"/><Relationship Id="rId103" Type="http://schemas.openxmlformats.org/officeDocument/2006/relationships/hyperlink" Target="https://eur-lex.europa.eu/legal-content/EN/TXT/?uri=CELEX%3A32019R1009" TargetMode="External"/><Relationship Id="rId108" Type="http://schemas.openxmlformats.org/officeDocument/2006/relationships/hyperlink" Target="https://eur-lex.europa.eu/legal-content/EN/TXT/?uri=CELEX%3A32019R1009" TargetMode="External"/><Relationship Id="rId124" Type="http://schemas.openxmlformats.org/officeDocument/2006/relationships/hyperlink" Target="https://eur-lex.europa.eu/legal-content/EN/TXT/?uri=CELEX%3A32019R1009" TargetMode="External"/><Relationship Id="rId129" Type="http://schemas.openxmlformats.org/officeDocument/2006/relationships/footer" Target="footer1.xml"/><Relationship Id="rId54" Type="http://schemas.openxmlformats.org/officeDocument/2006/relationships/hyperlink" Target="https://eur-lex.europa.eu/legal-content/EN/TXT/?uri=CELEX%3A32019R1009" TargetMode="External"/><Relationship Id="rId70" Type="http://schemas.openxmlformats.org/officeDocument/2006/relationships/hyperlink" Target="https://eur-lex.europa.eu/legal-content/EN/TXT/?uri=CELEX%3A32019R1009" TargetMode="External"/><Relationship Id="rId75" Type="http://schemas.openxmlformats.org/officeDocument/2006/relationships/hyperlink" Target="https://eur-lex.europa.eu/legal-content/EN/TXT/?uri=CELEX%3A32019R1009" TargetMode="External"/><Relationship Id="rId91" Type="http://schemas.openxmlformats.org/officeDocument/2006/relationships/hyperlink" Target="https://eur-lex.europa.eu/legal-content/EN/TXT/?uri=CELEX%3A32019R1009" TargetMode="External"/><Relationship Id="rId96" Type="http://schemas.openxmlformats.org/officeDocument/2006/relationships/hyperlink" Target="https://eur-lex.europa.eu/legal-content/EN/ALL/?uri=celex%3A32006R190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ur-lex.europa.eu/legal-content/en/ALL/?uri=CELEX%3A32009R1069" TargetMode="External"/><Relationship Id="rId28" Type="http://schemas.openxmlformats.org/officeDocument/2006/relationships/hyperlink" Target="https://eur-lex.europa.eu/legal-content/EN/TXT/?uri=CELEX%3A32019R1009" TargetMode="External"/><Relationship Id="rId49" Type="http://schemas.openxmlformats.org/officeDocument/2006/relationships/hyperlink" Target="https://eur-lex.europa.eu/legal-content/EN/TXT/?uri=CELEX%3A32019R1009" TargetMode="External"/><Relationship Id="rId114" Type="http://schemas.openxmlformats.org/officeDocument/2006/relationships/hyperlink" Target="https://eur-lex.europa.eu/legal-content/EN/TXT/?uri=CELEX%3A32019R1009" TargetMode="External"/><Relationship Id="rId119" Type="http://schemas.openxmlformats.org/officeDocument/2006/relationships/hyperlink" Target="https://eur-lex.europa.eu/legal-content/EN/TXT/?uri=CELEX%3A32019R1009" TargetMode="External"/><Relationship Id="rId44" Type="http://schemas.openxmlformats.org/officeDocument/2006/relationships/hyperlink" Target="https://eur-lex.europa.eu/legal-content/EN/TXT/?uri=CELEX%3A32019R1009" TargetMode="External"/><Relationship Id="rId60" Type="http://schemas.openxmlformats.org/officeDocument/2006/relationships/hyperlink" Target="https://eur-lex.europa.eu/legal-content/EN/TXT/?uri=CELEX%3A32019R1009" TargetMode="External"/><Relationship Id="rId65" Type="http://schemas.openxmlformats.org/officeDocument/2006/relationships/hyperlink" Target="https://eur-lex.europa.eu/legal-content/EN/TXT/?uri=CELEX%3A32019R1009" TargetMode="External"/><Relationship Id="rId81" Type="http://schemas.openxmlformats.org/officeDocument/2006/relationships/hyperlink" Target="https://eur-lex.europa.eu/legal-content/EN/TXT/?uri=CELEX%3A32019R1009" TargetMode="External"/><Relationship Id="rId86" Type="http://schemas.openxmlformats.org/officeDocument/2006/relationships/hyperlink" Target="https://eur-lex.europa.eu/legal-content/EN/TXT/?uri=celex%3A32008L0098" TargetMode="External"/><Relationship Id="rId130" Type="http://schemas.openxmlformats.org/officeDocument/2006/relationships/footer" Target="footer2.xml"/><Relationship Id="rId135" Type="http://schemas.openxmlformats.org/officeDocument/2006/relationships/customXml" Target="../customXml/item2.xml"/><Relationship Id="rId13" Type="http://schemas.openxmlformats.org/officeDocument/2006/relationships/hyperlink" Target="https://eur-lex.europa.eu/legal-content/EN/TXT/?uri=celex%3A32009R1107" TargetMode="External"/><Relationship Id="rId18" Type="http://schemas.openxmlformats.org/officeDocument/2006/relationships/hyperlink" Target="https://eur-lex.europa.eu/legal-content/EN/TXT/?uri=CELEX%3A32019R1009" TargetMode="External"/><Relationship Id="rId39" Type="http://schemas.openxmlformats.org/officeDocument/2006/relationships/hyperlink" Target="https://eur-lex.europa.eu/legal-content/EN/TXT/?uri=CELEX%3A32019R1009" TargetMode="External"/><Relationship Id="rId109" Type="http://schemas.openxmlformats.org/officeDocument/2006/relationships/hyperlink" Target="https://eur-lex.europa.eu/legal-content/EN/TXT/?uri=CELEX%3A32019R1009" TargetMode="External"/><Relationship Id="rId34" Type="http://schemas.openxmlformats.org/officeDocument/2006/relationships/hyperlink" Target="https://eur-lex.europa.eu/legal-content/EN/TXT/?uri=CELEX%3A32019R1009" TargetMode="External"/><Relationship Id="rId50" Type="http://schemas.openxmlformats.org/officeDocument/2006/relationships/hyperlink" Target="https://eur-lex.europa.eu/legal-content/EN/TXT/?qid=1603194854375&amp;uri=CELEX:02003R2003-20190718" TargetMode="External"/><Relationship Id="rId55" Type="http://schemas.openxmlformats.org/officeDocument/2006/relationships/hyperlink" Target="https://eur-lex.europa.eu/legal-content/EN/TXT/?uri=CELEX%3A32019R1009" TargetMode="External"/><Relationship Id="rId76" Type="http://schemas.openxmlformats.org/officeDocument/2006/relationships/hyperlink" Target="https://eur-lex.europa.eu/legal-content/EN/TXT/?uri=CELEX%3A32019R1009" TargetMode="External"/><Relationship Id="rId97" Type="http://schemas.openxmlformats.org/officeDocument/2006/relationships/hyperlink" Target="https://eur-lex.europa.eu/legal-content/EN/ALL/?uri=celex%3A32006R1907" TargetMode="External"/><Relationship Id="rId104" Type="http://schemas.openxmlformats.org/officeDocument/2006/relationships/hyperlink" Target="https://eur-lex.europa.eu/legal-content/en/ALL/?uri=CELEX%3A32009R1069" TargetMode="External"/><Relationship Id="rId120" Type="http://schemas.openxmlformats.org/officeDocument/2006/relationships/hyperlink" Target="https://eur-lex.europa.eu/legal-content/EN/TXT/?uri=CELEX%3A32019R1009" TargetMode="External"/><Relationship Id="rId125" Type="http://schemas.openxmlformats.org/officeDocument/2006/relationships/hyperlink" Target="https://eur-lex.europa.eu/legal-content/EN/TXT/?uri=CELEX%3A32019R1009" TargetMode="External"/><Relationship Id="rId7" Type="http://schemas.openxmlformats.org/officeDocument/2006/relationships/endnotes" Target="endnotes.xml"/><Relationship Id="rId71" Type="http://schemas.openxmlformats.org/officeDocument/2006/relationships/hyperlink" Target="https://eur-lex.europa.eu/legal-content/EN/TXT/?uri=CELEX%3A32019R1009" TargetMode="External"/><Relationship Id="rId92" Type="http://schemas.openxmlformats.org/officeDocument/2006/relationships/hyperlink" Target="https://eur-lex.europa.eu/legal-content/EN/ALL/?uri=celex%3A32006R1907" TargetMode="External"/><Relationship Id="rId2" Type="http://schemas.openxmlformats.org/officeDocument/2006/relationships/numbering" Target="numbering.xml"/><Relationship Id="rId29" Type="http://schemas.openxmlformats.org/officeDocument/2006/relationships/hyperlink" Target="https://eur-lex.europa.eu/legal-content/EN/TXT/?uri=CELEX%3A32019R1009" TargetMode="External"/><Relationship Id="rId24" Type="http://schemas.openxmlformats.org/officeDocument/2006/relationships/hyperlink" Target="https://eur-lex.europa.eu/legal-content/en/ALL/?uri=CELEX%3A32009R1069" TargetMode="External"/><Relationship Id="rId40" Type="http://schemas.openxmlformats.org/officeDocument/2006/relationships/hyperlink" Target="https://ec.europa.eu/growth/single-market/goods/free-movement-sectors/mutual-recognition_en" TargetMode="External"/><Relationship Id="rId45" Type="http://schemas.openxmlformats.org/officeDocument/2006/relationships/hyperlink" Target="https://eur-lex.europa.eu/legal-content/EN/TXT/?uri=CELEX%3A32019R1009" TargetMode="External"/><Relationship Id="rId66" Type="http://schemas.openxmlformats.org/officeDocument/2006/relationships/hyperlink" Target="https://eur-lex.europa.eu/legal-content/EN/TXT/?uri=CELEX%3A32019R1009" TargetMode="External"/><Relationship Id="rId87" Type="http://schemas.openxmlformats.org/officeDocument/2006/relationships/hyperlink" Target="https://eur-lex.europa.eu/legal-content/EN/TXT/?uri=CELEX%3A32019R1009" TargetMode="External"/><Relationship Id="rId110" Type="http://schemas.openxmlformats.org/officeDocument/2006/relationships/hyperlink" Target="https://eur-lex.europa.eu/legal-content/EN/TXT/?uri=CELEX%3A32019R1009" TargetMode="External"/><Relationship Id="rId115" Type="http://schemas.openxmlformats.org/officeDocument/2006/relationships/hyperlink" Target="https://eur-lex.europa.eu/legal-content/EN/TXT/?uri=CELEX%3A32019R1009" TargetMode="External"/><Relationship Id="rId131" Type="http://schemas.openxmlformats.org/officeDocument/2006/relationships/header" Target="header3.xml"/><Relationship Id="rId136" Type="http://schemas.openxmlformats.org/officeDocument/2006/relationships/customXml" Target="../customXml/item3.xml"/><Relationship Id="rId61" Type="http://schemas.openxmlformats.org/officeDocument/2006/relationships/hyperlink" Target="https://eur-lex.europa.eu/legal-content/EN/TXT/?uri=CELEX%3A32019R1009" TargetMode="External"/><Relationship Id="rId82" Type="http://schemas.openxmlformats.org/officeDocument/2006/relationships/hyperlink" Target="https://eur-lex.europa.eu/legal-content/EN/TXT/?uri=CELEX%3A32019R1009" TargetMode="External"/><Relationship Id="rId19" Type="http://schemas.openxmlformats.org/officeDocument/2006/relationships/hyperlink" Target="https://eur-lex.europa.eu/legal-content/EN/TXT/?uri=CELEX%3A32019R1009" TargetMode="External"/><Relationship Id="rId14" Type="http://schemas.openxmlformats.org/officeDocument/2006/relationships/hyperlink" Target="https://eur-lex.europa.eu/legal-content/EN/ALL/?uri=celex%3A32006R1907" TargetMode="External"/><Relationship Id="rId30" Type="http://schemas.openxmlformats.org/officeDocument/2006/relationships/hyperlink" Target="https://eur-lex.europa.eu/legal-content/EN/TXT/?uri=CELEX:02008R0889-20181112" TargetMode="External"/><Relationship Id="rId35" Type="http://schemas.openxmlformats.org/officeDocument/2006/relationships/hyperlink" Target="https://eur-lex.europa.eu/legal-content/EN/TXT/?uri=CELEX%3A32019R1009" TargetMode="External"/><Relationship Id="rId56" Type="http://schemas.openxmlformats.org/officeDocument/2006/relationships/hyperlink" Target="https://eur-lex.europa.eu/legal-content/EN/TXT/?uri=CELEX%3A32019R1009" TargetMode="External"/><Relationship Id="rId77" Type="http://schemas.openxmlformats.org/officeDocument/2006/relationships/hyperlink" Target="https://eur-lex.europa.eu/legal-content/EN/TXT/?uri=CELEX%3A32019R1009" TargetMode="External"/><Relationship Id="rId100" Type="http://schemas.openxmlformats.org/officeDocument/2006/relationships/hyperlink" Target="https://eur-lex.europa.eu/legal-content/en/ALL/?uri=CELEX%3A32009R1069" TargetMode="External"/><Relationship Id="rId105" Type="http://schemas.openxmlformats.org/officeDocument/2006/relationships/hyperlink" Target="https://eur-lex.europa.eu/legal-content/en/ALL/?uri=CELEX%3A32009R1069" TargetMode="External"/><Relationship Id="rId126" Type="http://schemas.openxmlformats.org/officeDocument/2006/relationships/hyperlink" Target="https://eur-lex.europa.eu/legal-content/EN/TXT/?uri=CELEX%3A32019R1009" TargetMode="External"/><Relationship Id="rId8" Type="http://schemas.openxmlformats.org/officeDocument/2006/relationships/image" Target="media/image1.png"/><Relationship Id="rId51" Type="http://schemas.openxmlformats.org/officeDocument/2006/relationships/hyperlink" Target="https://eur-lex.europa.eu/legal-content/EN/TXT/?uri=CELEX%3A32019R1009" TargetMode="External"/><Relationship Id="rId72" Type="http://schemas.openxmlformats.org/officeDocument/2006/relationships/hyperlink" Target="https://eur-lex.europa.eu/legal-content/EN/TXT/?uri=CELEX%3A32019R1009" TargetMode="External"/><Relationship Id="rId93" Type="http://schemas.openxmlformats.org/officeDocument/2006/relationships/hyperlink" Target="https://eur-lex.europa.eu/legal-content/EN/ALL/?uri=celex%3A32006R1907" TargetMode="External"/><Relationship Id="rId98" Type="http://schemas.openxmlformats.org/officeDocument/2006/relationships/hyperlink" Target="https://eur-lex.europa.eu/legal-content/EN/TXT/?uri=celex%3A32008L0098" TargetMode="External"/><Relationship Id="rId121" Type="http://schemas.openxmlformats.org/officeDocument/2006/relationships/hyperlink" Target="https://eur-lex.europa.eu/legal-content/EN/TXT/?uri=CELEX%3A32019R1009" TargetMode="External"/><Relationship Id="rId3" Type="http://schemas.openxmlformats.org/officeDocument/2006/relationships/styles" Target="styles.xml"/><Relationship Id="rId25" Type="http://schemas.openxmlformats.org/officeDocument/2006/relationships/hyperlink" Target="https://eur-lex.europa.eu/legal-content/EN/TXT/?uri=CELEX%3A32019R1009" TargetMode="External"/><Relationship Id="rId46" Type="http://schemas.openxmlformats.org/officeDocument/2006/relationships/hyperlink" Target="https://eur-lex.europa.eu/legal-content/EN/TXT/?uri=CELEX%3A32019R1009" TargetMode="External"/><Relationship Id="rId67" Type="http://schemas.openxmlformats.org/officeDocument/2006/relationships/hyperlink" Target="https://eur-lex.europa.eu/legal-content/EN/TXT/?uri=CELEX%3A32019R1009" TargetMode="External"/><Relationship Id="rId116" Type="http://schemas.openxmlformats.org/officeDocument/2006/relationships/hyperlink" Target="https://eur-lex.europa.eu/legal-content/EN/TXT/?uri=CELEX%3A32019R1009" TargetMode="External"/><Relationship Id="rId137" Type="http://schemas.openxmlformats.org/officeDocument/2006/relationships/customXml" Target="../customXml/item4.xml"/><Relationship Id="rId20" Type="http://schemas.openxmlformats.org/officeDocument/2006/relationships/hyperlink" Target="https://eur-lex.europa.eu/legal-content/EN/TXT/?uri=CELEX%3A32019R1009" TargetMode="External"/><Relationship Id="rId41" Type="http://schemas.openxmlformats.org/officeDocument/2006/relationships/hyperlink" Target="https://eur-lex.europa.eu/legal-content/EN/TXT/?uri=CELEX%3A32019R1009" TargetMode="External"/><Relationship Id="rId62" Type="http://schemas.openxmlformats.org/officeDocument/2006/relationships/hyperlink" Target="https://eur-lex.europa.eu/legal-content/EN/TXT/?uri=CELEX%3A32019R1009" TargetMode="External"/><Relationship Id="rId83" Type="http://schemas.openxmlformats.org/officeDocument/2006/relationships/hyperlink" Target="https://eur-lex.europa.eu/legal-content/EN/TXT/?uri=CELEX%3A32019R1009" TargetMode="External"/><Relationship Id="rId88" Type="http://schemas.openxmlformats.org/officeDocument/2006/relationships/hyperlink" Target="https://eur-lex.europa.eu/legal-content/EN/TXT/?uri=CELEX%3A32019R1009" TargetMode="External"/><Relationship Id="rId111" Type="http://schemas.openxmlformats.org/officeDocument/2006/relationships/hyperlink" Target="https://eur-lex.europa.eu/legal-content/EN/TXT/?uri=CELEX%3A32019R1009" TargetMode="External"/><Relationship Id="rId132" Type="http://schemas.openxmlformats.org/officeDocument/2006/relationships/footer" Target="footer3.xml"/><Relationship Id="rId15" Type="http://schemas.openxmlformats.org/officeDocument/2006/relationships/hyperlink" Target="https://eur-lex.europa.eu/legal-content/EN/TXT/?uri=celex%3A32008L0098" TargetMode="External"/><Relationship Id="rId36" Type="http://schemas.openxmlformats.org/officeDocument/2006/relationships/hyperlink" Target="https://eur-lex.europa.eu/legal-content/EN/TXT/?uri=CELEX%3A32019R1009" TargetMode="External"/><Relationship Id="rId57" Type="http://schemas.openxmlformats.org/officeDocument/2006/relationships/hyperlink" Target="https://eur-lex.europa.eu/legal-content/EN/TXT/?uri=CELEX%3A32019R1009" TargetMode="External"/><Relationship Id="rId106" Type="http://schemas.openxmlformats.org/officeDocument/2006/relationships/hyperlink" Target="https://eur-lex.europa.eu/legal-content/EN/TXT/?uri=CELEX%3A32019R1009" TargetMode="External"/><Relationship Id="rId127" Type="http://schemas.openxmlformats.org/officeDocument/2006/relationships/header" Target="header1.xml"/><Relationship Id="rId10" Type="http://schemas.openxmlformats.org/officeDocument/2006/relationships/hyperlink" Target="https://circabc.europa.eu/faces/jsp/extension/wai/navigation/container.jsp" TargetMode="External"/><Relationship Id="rId31" Type="http://schemas.openxmlformats.org/officeDocument/2006/relationships/hyperlink" Target="https://eur-lex.europa.eu/legal-content/EN/TXT/?uri=CELEX%3A32019R1009" TargetMode="External"/><Relationship Id="rId52" Type="http://schemas.openxmlformats.org/officeDocument/2006/relationships/hyperlink" Target="https://eur-lex.europa.eu/legal-content/EN/TXT/?uri=CELEX%3A32019R1009" TargetMode="External"/><Relationship Id="rId73" Type="http://schemas.openxmlformats.org/officeDocument/2006/relationships/hyperlink" Target="https://eur-lex.europa.eu/legal-content/EN/TXT/?uri=CELEX%3A32019R1009" TargetMode="External"/><Relationship Id="rId78" Type="http://schemas.openxmlformats.org/officeDocument/2006/relationships/hyperlink" Target="https://eur-lex.europa.eu/legal-content/EN/TXT/?uri=CELEX%3A32019R1009" TargetMode="External"/><Relationship Id="rId94" Type="http://schemas.openxmlformats.org/officeDocument/2006/relationships/hyperlink" Target="https://eur-lex.europa.eu/legal-content/EN/ALL/?uri=celex%3A32006R1907" TargetMode="External"/><Relationship Id="rId99" Type="http://schemas.openxmlformats.org/officeDocument/2006/relationships/hyperlink" Target="https://eur-lex.europa.eu/legal-content/EN/TXT/?uri=CELEX%3A32019R1009" TargetMode="External"/><Relationship Id="rId101" Type="http://schemas.openxmlformats.org/officeDocument/2006/relationships/hyperlink" Target="https://eur-lex.europa.eu/legal-content/en/ALL/?uri=CELEX%3A32009R1069" TargetMode="External"/><Relationship Id="rId122" Type="http://schemas.openxmlformats.org/officeDocument/2006/relationships/hyperlink" Target="https://eur-lex.europa.eu/legal-content/EN/TXT/?uri=CELEX%3A32019R1009" TargetMode="External"/><Relationship Id="rId4" Type="http://schemas.openxmlformats.org/officeDocument/2006/relationships/settings" Target="settings.xml"/><Relationship Id="rId9" Type="http://schemas.openxmlformats.org/officeDocument/2006/relationships/hyperlink" Target="https://eur-lex.europa.eu/eli/reg/2019/1009/oj" TargetMode="External"/><Relationship Id="rId26" Type="http://schemas.openxmlformats.org/officeDocument/2006/relationships/hyperlink" Target="https://eur-lex.europa.eu/legal-content/en/ALL/?uri=CELEX%3A32009R1069" TargetMode="External"/><Relationship Id="rId47" Type="http://schemas.openxmlformats.org/officeDocument/2006/relationships/hyperlink" Target="https://eur-lex.europa.eu/legal-content/EN/TXT/?uri=CELEX%3A32019R1009" TargetMode="External"/><Relationship Id="rId68" Type="http://schemas.openxmlformats.org/officeDocument/2006/relationships/hyperlink" Target="https://eur-lex.europa.eu/legal-content/EN/TXT/?uri=CELEX%3A32019R1009" TargetMode="External"/><Relationship Id="rId89" Type="http://schemas.openxmlformats.org/officeDocument/2006/relationships/hyperlink" Target="https://eur-lex.europa.eu/legal-content/EN/TXT/?uri=celex%3A32008L0098" TargetMode="External"/><Relationship Id="rId112" Type="http://schemas.openxmlformats.org/officeDocument/2006/relationships/image" Target="media/image2.png"/><Relationship Id="rId13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ocsroom/documents/18027" TargetMode="External"/><Relationship Id="rId2" Type="http://schemas.openxmlformats.org/officeDocument/2006/relationships/hyperlink" Target="https://eur-lex.europa.eu/legal-content/GA/TXT/?uri=CELEX:52016XC0726(02)" TargetMode="External"/><Relationship Id="rId1" Type="http://schemas.openxmlformats.org/officeDocument/2006/relationships/hyperlink" Target="https://eur-lex.europa.eu/legal-content/GA/TXT/?uri=CELEX:52016XC0726(02)" TargetMode="External"/><Relationship Id="rId4" Type="http://schemas.openxmlformats.org/officeDocument/2006/relationships/hyperlink" Target="https://ec.europa.eu/docsroom/documents/18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541CF0B24550D145822D757640565B7E" ma:contentTypeVersion="13" ma:contentTypeDescription="Create a new document." ma:contentTypeScope="" ma:versionID="72ef7f8e4cd62e4a4573bfefe5d6c42a">
  <xsd:schema xmlns:xsd="http://www.w3.org/2001/XMLSchema" xmlns:xs="http://www.w3.org/2001/XMLSchema" xmlns:p="http://schemas.microsoft.com/office/2006/metadata/properties" xmlns:ns2="4d4f7e74-1ef7-4b84-9dc0-c6e9cab0bdf5" xmlns:ns3="7cb67277-ec1f-4e73-a08d-81578d162435" targetNamespace="http://schemas.microsoft.com/office/2006/metadata/properties" ma:root="true" ma:fieldsID="f5479b1b99379852465b9f367420795d" ns2:_="" ns3:_="">
    <xsd:import namespace="4d4f7e74-1ef7-4b84-9dc0-c6e9cab0bdf5"/>
    <xsd:import namespace="7cb67277-ec1f-4e73-a08d-81578d1624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f7e74-1ef7-4b84-9dc0-c6e9cab0b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b67277-ec1f-4e73-a08d-81578d16243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9E825B-8C81-4AC5-A12E-04F99612BF12}">
  <ds:schemaRefs>
    <ds:schemaRef ds:uri="http://schemas.openxmlformats.org/officeDocument/2006/bibliography"/>
  </ds:schemaRefs>
</ds:datastoreItem>
</file>

<file path=customXml/itemProps2.xml><?xml version="1.0" encoding="utf-8"?>
<ds:datastoreItem xmlns:ds="http://schemas.openxmlformats.org/officeDocument/2006/customXml" ds:itemID="{7D2564E7-AFAE-4DA7-886C-146ACA83397B}"/>
</file>

<file path=customXml/itemProps3.xml><?xml version="1.0" encoding="utf-8"?>
<ds:datastoreItem xmlns:ds="http://schemas.openxmlformats.org/officeDocument/2006/customXml" ds:itemID="{1627CAFE-F897-4A13-BD5B-6DED14ADE772}"/>
</file>

<file path=customXml/itemProps4.xml><?xml version="1.0" encoding="utf-8"?>
<ds:datastoreItem xmlns:ds="http://schemas.openxmlformats.org/officeDocument/2006/customXml" ds:itemID="{42CC24F2-0F12-4735-94F1-2A9BFB066B96}"/>
</file>

<file path=docProps/app.xml><?xml version="1.0" encoding="utf-8"?>
<Properties xmlns="http://schemas.openxmlformats.org/officeDocument/2006/extended-properties" xmlns:vt="http://schemas.openxmlformats.org/officeDocument/2006/docPropsVTypes">
  <Template>Normal.dotm</Template>
  <TotalTime>0</TotalTime>
  <Pages>27</Pages>
  <Words>12013</Words>
  <Characters>68476</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2020-12-14T16:45:00Z</dcterms:created>
  <dcterms:modified xsi:type="dcterms:W3CDTF">2022-02-04T08:30:00Z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0x010100541CF0B24550D145822D757640565B7E</vt:lpwstr>
  </property>
</Properties>
</file>